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5A4BD4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F7A8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5A4BD4" w:rsidP="00D4506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7B1084" w:rsidP="005A4BD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№  </w:t>
            </w:r>
            <w:r w:rsidR="005A4BD4">
              <w:rPr>
                <w:rFonts w:ascii="Arial" w:hAnsi="Arial" w:cs="Arial"/>
                <w:sz w:val="24"/>
                <w:szCs w:val="24"/>
                <w:lang w:val="ru-RU"/>
              </w:rPr>
              <w:t>130</w:t>
            </w:r>
          </w:p>
        </w:tc>
      </w:tr>
      <w:tr w:rsidR="007B1084" w:rsidRPr="005A4BD4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9F7A8C" w:rsidRDefault="007A6EF7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364672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3 «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="000406C7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7B1084" w:rsidRPr="009F7A8C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13D63" w:rsidRPr="00813D63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r w:rsidRPr="00813D63">
        <w:rPr>
          <w:rFonts w:cs="Arial"/>
          <w:b w:val="0"/>
          <w:sz w:val="24"/>
          <w:szCs w:val="24"/>
          <w:lang w:val="ru-RU"/>
        </w:rPr>
        <w:t xml:space="preserve">В </w:t>
      </w:r>
      <w:r w:rsidR="00AF7A00">
        <w:rPr>
          <w:rFonts w:cs="Arial"/>
          <w:b w:val="0"/>
          <w:sz w:val="24"/>
          <w:szCs w:val="24"/>
          <w:lang w:val="ru-RU"/>
        </w:rPr>
        <w:t xml:space="preserve">целях совершенствования муниципального правового акта и приведения его в </w:t>
      </w:r>
      <w:r w:rsidRPr="00813D63">
        <w:rPr>
          <w:rFonts w:cs="Arial"/>
          <w:b w:val="0"/>
          <w:sz w:val="24"/>
          <w:szCs w:val="24"/>
          <w:lang w:val="ru-RU"/>
        </w:rPr>
        <w:t>соответстви</w:t>
      </w:r>
      <w:r w:rsidR="00AF7A00">
        <w:rPr>
          <w:rFonts w:cs="Arial"/>
          <w:b w:val="0"/>
          <w:sz w:val="24"/>
          <w:szCs w:val="24"/>
          <w:lang w:val="ru-RU"/>
        </w:rPr>
        <w:t>е</w:t>
      </w:r>
      <w:r w:rsidRPr="00813D63">
        <w:rPr>
          <w:rFonts w:cs="Arial"/>
          <w:b w:val="0"/>
          <w:sz w:val="24"/>
          <w:szCs w:val="24"/>
          <w:lang w:val="ru-RU"/>
        </w:rPr>
        <w:t xml:space="preserve"> с</w:t>
      </w:r>
      <w:r w:rsidR="0013247A" w:rsidRPr="00813D63">
        <w:rPr>
          <w:rFonts w:cs="Arial"/>
          <w:b w:val="0"/>
          <w:sz w:val="24"/>
          <w:szCs w:val="24"/>
          <w:lang w:val="ru-RU"/>
        </w:rPr>
        <w:t xml:space="preserve"> </w:t>
      </w:r>
      <w:r w:rsidR="00813D63" w:rsidRPr="00813D63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813D63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>
        <w:rPr>
          <w:b w:val="0"/>
          <w:sz w:val="24"/>
          <w:szCs w:val="24"/>
          <w:lang w:val="ru-RU"/>
        </w:rPr>
        <w:t>ым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813D63">
        <w:rPr>
          <w:b w:val="0"/>
          <w:sz w:val="24"/>
          <w:szCs w:val="24"/>
          <w:lang w:val="ru-RU"/>
        </w:rPr>
        <w:t>п</w:t>
      </w:r>
      <w:r w:rsidR="00813D63" w:rsidRPr="00813D63">
        <w:rPr>
          <w:b w:val="0"/>
          <w:sz w:val="24"/>
          <w:szCs w:val="24"/>
          <w:lang w:val="ru-RU"/>
        </w:rPr>
        <w:t>остановление</w:t>
      </w:r>
      <w:r w:rsidR="00813D63">
        <w:rPr>
          <w:b w:val="0"/>
          <w:sz w:val="24"/>
          <w:szCs w:val="24"/>
          <w:lang w:val="ru-RU"/>
        </w:rPr>
        <w:t>м</w:t>
      </w:r>
      <w:r w:rsidR="00813D63" w:rsidRPr="00813D63">
        <w:rPr>
          <w:b w:val="0"/>
          <w:sz w:val="24"/>
          <w:szCs w:val="24"/>
          <w:lang w:val="ru-RU"/>
        </w:rPr>
        <w:t xml:space="preserve"> Администрации Томской области от 26 сентября 2019</w:t>
      </w:r>
      <w:r w:rsidR="00813D63" w:rsidRPr="00813D63">
        <w:rPr>
          <w:b w:val="0"/>
          <w:sz w:val="24"/>
          <w:szCs w:val="24"/>
        </w:rPr>
        <w:t> </w:t>
      </w:r>
      <w:r w:rsidR="00330536">
        <w:rPr>
          <w:b w:val="0"/>
          <w:sz w:val="24"/>
          <w:szCs w:val="24"/>
          <w:lang w:val="ru-RU"/>
        </w:rPr>
        <w:t>г</w:t>
      </w:r>
      <w:r w:rsidR="00AD72DD">
        <w:rPr>
          <w:b w:val="0"/>
          <w:sz w:val="24"/>
          <w:szCs w:val="24"/>
          <w:lang w:val="ru-RU"/>
        </w:rPr>
        <w:t>.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330536">
        <w:rPr>
          <w:b w:val="0"/>
          <w:sz w:val="24"/>
          <w:szCs w:val="24"/>
          <w:lang w:val="ru-RU"/>
        </w:rPr>
        <w:t>№</w:t>
      </w:r>
      <w:r w:rsidR="00813D63" w:rsidRPr="00813D63">
        <w:rPr>
          <w:b w:val="0"/>
          <w:sz w:val="24"/>
          <w:szCs w:val="24"/>
        </w:rPr>
        <w:t> </w:t>
      </w:r>
      <w:r w:rsidR="00813D63">
        <w:rPr>
          <w:b w:val="0"/>
          <w:sz w:val="24"/>
          <w:szCs w:val="24"/>
          <w:lang w:val="ru-RU"/>
        </w:rPr>
        <w:t>339а «</w:t>
      </w:r>
      <w:r w:rsidR="00813D63" w:rsidRPr="00813D63">
        <w:rPr>
          <w:b w:val="0"/>
          <w:sz w:val="24"/>
          <w:szCs w:val="24"/>
          <w:lang w:val="ru-RU"/>
        </w:rPr>
        <w:t>Об утвержд</w:t>
      </w:r>
      <w:r w:rsidR="00813D63">
        <w:rPr>
          <w:b w:val="0"/>
          <w:sz w:val="24"/>
          <w:szCs w:val="24"/>
          <w:lang w:val="ru-RU"/>
        </w:rPr>
        <w:t>ении государственной программы «</w:t>
      </w:r>
      <w:r w:rsidR="00813D63" w:rsidRPr="00813D63">
        <w:rPr>
          <w:b w:val="0"/>
          <w:sz w:val="24"/>
          <w:szCs w:val="24"/>
          <w:lang w:val="ru-RU"/>
        </w:rPr>
        <w:t>Улучшение инвестиционного климата и ра</w:t>
      </w:r>
      <w:r w:rsidR="00813D63">
        <w:rPr>
          <w:b w:val="0"/>
          <w:sz w:val="24"/>
          <w:szCs w:val="24"/>
          <w:lang w:val="ru-RU"/>
        </w:rPr>
        <w:t>звитие экспорта Томской области»</w:t>
      </w:r>
      <w:r w:rsidR="00AD72DD">
        <w:rPr>
          <w:b w:val="0"/>
          <w:sz w:val="24"/>
          <w:szCs w:val="24"/>
          <w:lang w:val="ru-RU"/>
        </w:rPr>
        <w:t>,</w:t>
      </w:r>
    </w:p>
    <w:p w:rsidR="00252019" w:rsidRPr="0013247A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F7A8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26E7A" w:rsidRDefault="007A6EF7" w:rsidP="007A6EF7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6669">
        <w:t xml:space="preserve">Внести в решение Думы Колпашевского района от </w:t>
      </w:r>
      <w:r w:rsidR="000406C7">
        <w:t>31</w:t>
      </w:r>
      <w:r w:rsidRPr="00D26E88">
        <w:t>.0</w:t>
      </w:r>
      <w:r w:rsidR="000406C7">
        <w:t>1</w:t>
      </w:r>
      <w:r w:rsidRPr="00D26E88">
        <w:t>.202</w:t>
      </w:r>
      <w:r w:rsidR="000406C7">
        <w:t>0</w:t>
      </w:r>
      <w:r w:rsidRPr="00D26E88">
        <w:t xml:space="preserve"> № </w:t>
      </w:r>
      <w:r w:rsidR="000406C7">
        <w:t>3</w:t>
      </w:r>
      <w:r w:rsidRPr="00D26E88">
        <w:t xml:space="preserve"> «</w:t>
      </w:r>
      <w:r w:rsidR="000406C7" w:rsidRPr="009F7A8C">
        <w:t xml:space="preserve">О </w:t>
      </w:r>
      <w:r w:rsidR="000406C7">
        <w:t xml:space="preserve">порядке предоставления и распределения </w:t>
      </w:r>
      <w:r w:rsidR="000406C7" w:rsidRPr="009F7A8C">
        <w:t xml:space="preserve">иных межбюджетных трансфертов </w:t>
      </w:r>
      <w:r w:rsidR="000406C7">
        <w:t xml:space="preserve">из бюджета муниципального образования «Колпашевский район» </w:t>
      </w:r>
      <w:r w:rsidR="000406C7" w:rsidRPr="009F7A8C">
        <w:t>бюджет</w:t>
      </w:r>
      <w:r w:rsidR="000406C7">
        <w:t>ам</w:t>
      </w:r>
      <w:r w:rsidR="000406C7" w:rsidRPr="009F7A8C">
        <w:t xml:space="preserve"> </w:t>
      </w:r>
      <w:r w:rsidR="000406C7">
        <w:t>поселений Колпашевского района на компенсацию расходов по организации электроснабжения от дизельных электростанций</w:t>
      </w:r>
      <w:r w:rsidRPr="00D26E88">
        <w:t xml:space="preserve">» </w:t>
      </w:r>
      <w:r>
        <w:t>(в редакции решени</w:t>
      </w:r>
      <w:r w:rsidR="000406C7">
        <w:t>й</w:t>
      </w:r>
      <w:r>
        <w:t xml:space="preserve"> Думы Колпашевского района от </w:t>
      </w:r>
      <w:r w:rsidR="000406C7">
        <w:t>10.12.2020 № 35, от 30.01.2023 № 2</w:t>
      </w:r>
      <w:r>
        <w:t>)</w:t>
      </w:r>
      <w:r w:rsidR="00126E7A">
        <w:t xml:space="preserve"> следующие изменения:</w:t>
      </w:r>
    </w:p>
    <w:p w:rsidR="00465F26" w:rsidRPr="00465F26" w:rsidRDefault="00465F26" w:rsidP="00126E7A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 w:rsidRPr="00465F26">
        <w:t>пункт 3 изложить в следующей редакции:</w:t>
      </w:r>
    </w:p>
    <w:p w:rsidR="00465F26" w:rsidRPr="00465F26" w:rsidRDefault="00465F26" w:rsidP="00465F26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«3. </w:t>
      </w:r>
      <w:r w:rsidRPr="00C34D93">
        <w:rPr>
          <w:rFonts w:ascii="Arial" w:hAnsi="Arial" w:cs="Arial"/>
          <w:sz w:val="24"/>
          <w:szCs w:val="24"/>
          <w:lang w:val="ru-RU"/>
        </w:rPr>
        <w:t xml:space="preserve">Объём ИМБТ рассчитывается в соответствии с порядком </w:t>
      </w:r>
      <w:r w:rsidRPr="00C34D93">
        <w:rPr>
          <w:rFonts w:ascii="Arial" w:hAnsi="Arial" w:cs="Arial"/>
          <w:bCs/>
          <w:sz w:val="24"/>
          <w:szCs w:val="24"/>
          <w:lang w:val="ru-RU"/>
        </w:rPr>
        <w:t>предоставления и рас</w:t>
      </w:r>
      <w:r>
        <w:rPr>
          <w:rFonts w:ascii="Arial" w:hAnsi="Arial" w:cs="Arial"/>
          <w:bCs/>
          <w:sz w:val="24"/>
          <w:szCs w:val="24"/>
          <w:lang w:val="ru-RU"/>
        </w:rPr>
        <w:t>пределения</w:t>
      </w:r>
      <w:r w:rsidRPr="00C34D93">
        <w:rPr>
          <w:rFonts w:ascii="Arial" w:hAnsi="Arial" w:cs="Arial"/>
          <w:bCs/>
          <w:sz w:val="24"/>
          <w:szCs w:val="24"/>
          <w:lang w:val="ru-RU"/>
        </w:rPr>
        <w:t xml:space="preserve"> ИМБТ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  <w:r w:rsidR="00790C4D">
        <w:rPr>
          <w:rFonts w:ascii="Arial" w:hAnsi="Arial" w:cs="Arial"/>
          <w:bCs/>
          <w:sz w:val="24"/>
          <w:szCs w:val="24"/>
          <w:lang w:val="ru-RU"/>
        </w:rPr>
        <w:t>»;</w:t>
      </w:r>
    </w:p>
    <w:p w:rsidR="00126E7A" w:rsidRPr="00465F26" w:rsidRDefault="00AD72DD" w:rsidP="00126E7A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>
        <w:t>дополнить пунктом 3.1</w:t>
      </w:r>
      <w:r w:rsidR="00465F26" w:rsidRPr="00465F26">
        <w:t xml:space="preserve"> следующего содержания:</w:t>
      </w:r>
    </w:p>
    <w:p w:rsidR="00790C4D" w:rsidRDefault="00465F26" w:rsidP="0036467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5F26">
        <w:rPr>
          <w:rFonts w:ascii="Arial" w:hAnsi="Arial" w:cs="Arial"/>
          <w:sz w:val="24"/>
          <w:szCs w:val="24"/>
          <w:lang w:val="ru-RU"/>
        </w:rPr>
        <w:t xml:space="preserve">«3.1. </w:t>
      </w:r>
      <w:r>
        <w:rPr>
          <w:rFonts w:ascii="Arial" w:hAnsi="Arial" w:cs="Arial"/>
          <w:sz w:val="24"/>
          <w:szCs w:val="24"/>
          <w:lang w:val="ru-RU"/>
        </w:rPr>
        <w:t>ИМБТ поселениям Колпашевского района предоставляются на основании постановления Администрации Колпашевского района, в котором должны быть предусмотрены</w:t>
      </w:r>
      <w:r w:rsidR="00790C4D">
        <w:rPr>
          <w:rFonts w:ascii="Arial" w:hAnsi="Arial" w:cs="Arial"/>
          <w:sz w:val="24"/>
          <w:szCs w:val="24"/>
          <w:lang w:val="ru-RU"/>
        </w:rPr>
        <w:t xml:space="preserve"> следующие положения:</w:t>
      </w:r>
    </w:p>
    <w:p w:rsidR="00465F26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сведения о размере ИМБТ поселениям Колпашевского района;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 использования ИМБТ;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 возврата ИМБТ, неиспользованного по целевому назначению, в установленные сроки;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сроки и порядок предоставления отч</w:t>
      </w:r>
      <w:r w:rsidR="00AD72DD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>тности о расходовании ИМБТ.»;</w:t>
      </w:r>
    </w:p>
    <w:p w:rsidR="00790C4D" w:rsidRDefault="00AC1724" w:rsidP="00AD72DD">
      <w:pPr>
        <w:pStyle w:val="af1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изложить в следующей редакции:</w:t>
      </w:r>
    </w:p>
    <w:p w:rsidR="00AD72DD" w:rsidRDefault="00AD72DD" w:rsidP="00AD72DD">
      <w:pPr>
        <w:pStyle w:val="af1"/>
        <w:ind w:left="709"/>
        <w:rPr>
          <w:rFonts w:ascii="Arial" w:hAnsi="Arial" w:cs="Arial"/>
          <w:sz w:val="24"/>
          <w:szCs w:val="24"/>
          <w:lang w:val="ru-RU"/>
        </w:rPr>
      </w:pPr>
    </w:p>
    <w:p w:rsidR="00EB2A32" w:rsidRPr="007A6EF7" w:rsidRDefault="000406C7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«</w:t>
      </w:r>
      <w:r w:rsidR="00EB2A32" w:rsidRPr="007A6EF7">
        <w:rPr>
          <w:rFonts w:ascii="Arial" w:hAnsi="Arial" w:cs="Arial"/>
          <w:sz w:val="24"/>
          <w:szCs w:val="24"/>
          <w:lang w:val="ru-RU"/>
        </w:rPr>
        <w:t>Приложение</w:t>
      </w:r>
      <w:r w:rsidR="000330AC" w:rsidRPr="007A6EF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30536" w:rsidRPr="007A6EF7" w:rsidRDefault="00330536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EB2A32" w:rsidRPr="007A6EF7" w:rsidRDefault="000330AC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р</w:t>
      </w:r>
      <w:r w:rsidR="00330536" w:rsidRPr="007A6EF7">
        <w:rPr>
          <w:rFonts w:ascii="Arial" w:hAnsi="Arial" w:cs="Arial"/>
          <w:sz w:val="24"/>
          <w:szCs w:val="24"/>
          <w:lang w:val="ru-RU"/>
        </w:rPr>
        <w:t>ешением</w:t>
      </w:r>
      <w:r w:rsidR="00EB2A32" w:rsidRPr="007A6EF7">
        <w:rPr>
          <w:rFonts w:ascii="Arial" w:hAnsi="Arial" w:cs="Arial"/>
          <w:sz w:val="24"/>
          <w:szCs w:val="24"/>
          <w:lang w:val="ru-RU"/>
        </w:rPr>
        <w:t xml:space="preserve"> Думы</w:t>
      </w:r>
    </w:p>
    <w:p w:rsidR="00EB2A32" w:rsidRPr="007A6EF7" w:rsidRDefault="00EB2A32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Колпашевского района</w:t>
      </w:r>
    </w:p>
    <w:p w:rsidR="00EB2A32" w:rsidRPr="007A6EF7" w:rsidRDefault="00EB2A32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от </w:t>
      </w:r>
      <w:r w:rsidR="005B053E" w:rsidRPr="007A6EF7">
        <w:rPr>
          <w:rFonts w:ascii="Arial" w:hAnsi="Arial" w:cs="Arial"/>
          <w:sz w:val="24"/>
          <w:szCs w:val="24"/>
          <w:lang w:val="ru-RU"/>
        </w:rPr>
        <w:t>31.01.2020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№ </w:t>
      </w:r>
      <w:r w:rsidR="005B053E" w:rsidRPr="007A6EF7">
        <w:rPr>
          <w:rFonts w:ascii="Arial" w:hAnsi="Arial" w:cs="Arial"/>
          <w:sz w:val="24"/>
          <w:szCs w:val="24"/>
          <w:lang w:val="ru-RU"/>
        </w:rPr>
        <w:t>3</w:t>
      </w:r>
    </w:p>
    <w:p w:rsidR="00EB2A32" w:rsidRPr="007A6EF7" w:rsidRDefault="00EB2A32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B2A32" w:rsidRPr="007A6EF7" w:rsidRDefault="00EB2A32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93B24" w:rsidRPr="007A6EF7" w:rsidRDefault="00993B24" w:rsidP="00993B2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Порядок</w:t>
      </w:r>
    </w:p>
    <w:p w:rsidR="00993B24" w:rsidRPr="007A6EF7" w:rsidRDefault="00993B24" w:rsidP="00993B2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1. Настоящий Порядок определяет правила предоставления</w:t>
      </w:r>
      <w:r w:rsidR="00AC1724">
        <w:rPr>
          <w:rFonts w:ascii="Arial" w:hAnsi="Arial" w:cs="Arial"/>
          <w:sz w:val="24"/>
          <w:szCs w:val="24"/>
          <w:lang w:val="ru-RU"/>
        </w:rPr>
        <w:t xml:space="preserve"> из бюджета муниципального образования «Колпашевский район» </w:t>
      </w:r>
      <w:r w:rsidR="00894CAF">
        <w:rPr>
          <w:rFonts w:ascii="Arial" w:hAnsi="Arial" w:cs="Arial"/>
          <w:sz w:val="24"/>
          <w:szCs w:val="24"/>
          <w:lang w:val="ru-RU"/>
        </w:rPr>
        <w:t xml:space="preserve">бюджетам </w:t>
      </w:r>
      <w:r w:rsidR="00AC1724">
        <w:rPr>
          <w:rFonts w:ascii="Arial" w:hAnsi="Arial" w:cs="Arial"/>
          <w:sz w:val="24"/>
          <w:szCs w:val="24"/>
          <w:lang w:val="ru-RU"/>
        </w:rPr>
        <w:t>поселени</w:t>
      </w:r>
      <w:r w:rsidR="00894CAF">
        <w:rPr>
          <w:rFonts w:ascii="Arial" w:hAnsi="Arial" w:cs="Arial"/>
          <w:sz w:val="24"/>
          <w:szCs w:val="24"/>
          <w:lang w:val="ru-RU"/>
        </w:rPr>
        <w:t>й</w:t>
      </w:r>
      <w:r w:rsidR="00AC1724">
        <w:rPr>
          <w:rFonts w:ascii="Arial" w:hAnsi="Arial" w:cs="Arial"/>
          <w:sz w:val="24"/>
          <w:szCs w:val="24"/>
          <w:lang w:val="ru-RU"/>
        </w:rPr>
        <w:t xml:space="preserve">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>и распределения иных межбюджетных трансфертов на компенсацию расходов по организации электроснабжения от дизельных электростанций (далее - ИМБТ).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2. ИМБТ предоставляются с целью софинансирования расходных обязательств поселений Колпашевского района на компенсацию расходов по организации электроснабжения от дизельных электростанций.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3. Критериями отбора поселений Колпашевского района для предоставления ИМБТ явля</w:t>
      </w:r>
      <w:r w:rsidR="00585BB3">
        <w:rPr>
          <w:rFonts w:ascii="Arial" w:hAnsi="Arial" w:cs="Arial"/>
          <w:sz w:val="24"/>
          <w:szCs w:val="24"/>
          <w:lang w:val="ru-RU"/>
        </w:rPr>
        <w:t>ю</w:t>
      </w:r>
      <w:r w:rsidRPr="007A6EF7">
        <w:rPr>
          <w:rFonts w:ascii="Arial" w:hAnsi="Arial" w:cs="Arial"/>
          <w:sz w:val="24"/>
          <w:szCs w:val="24"/>
          <w:lang w:val="ru-RU"/>
        </w:rPr>
        <w:t>тся: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1) наличие на территории поселения Колпашевского района дизельной электростанции, использующейся для электроснабжения населения соответствующего поселения Колпашевского района;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2) наличие утвержденного тарифа на электрическую энергию, вырабатываемую дизельной электростанцией, осуществляющей деятельность на территории соответствующего поселения Колпашевского района.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4. Условиями предоставления ИМБТ являются: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1) наличие</w:t>
      </w:r>
      <w:r w:rsidR="00655516">
        <w:rPr>
          <w:rFonts w:ascii="Arial" w:hAnsi="Arial" w:cs="Arial"/>
          <w:sz w:val="24"/>
          <w:szCs w:val="24"/>
          <w:lang w:val="ru-RU"/>
        </w:rPr>
        <w:t xml:space="preserve"> в году предоставления 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бюджете поселени</w:t>
      </w:r>
      <w:r w:rsidR="00655516">
        <w:rPr>
          <w:rFonts w:ascii="Arial" w:hAnsi="Arial" w:cs="Arial"/>
          <w:sz w:val="24"/>
          <w:szCs w:val="24"/>
          <w:lang w:val="ru-RU"/>
        </w:rPr>
        <w:t>я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="00585BB3">
        <w:rPr>
          <w:rFonts w:ascii="Arial" w:hAnsi="Arial" w:cs="Arial"/>
          <w:sz w:val="24"/>
          <w:szCs w:val="24"/>
          <w:lang w:val="ru-RU"/>
        </w:rPr>
        <w:t xml:space="preserve"> (сводной бюджетной росписи бюджета поселения)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бюджетных ассигнований на исполнение расходных обязательств поселения Колпашевского района, в целях софинансирования которых предоставля</w:t>
      </w:r>
      <w:r w:rsidR="00FD00AA">
        <w:rPr>
          <w:rFonts w:ascii="Arial" w:hAnsi="Arial" w:cs="Arial"/>
          <w:sz w:val="24"/>
          <w:szCs w:val="24"/>
          <w:lang w:val="ru-RU"/>
        </w:rPr>
        <w:t>ю</w:t>
      </w:r>
      <w:r w:rsidRPr="007A6EF7">
        <w:rPr>
          <w:rFonts w:ascii="Arial" w:hAnsi="Arial" w:cs="Arial"/>
          <w:sz w:val="24"/>
          <w:szCs w:val="24"/>
          <w:lang w:val="ru-RU"/>
        </w:rPr>
        <w:t>тся ИМБТ, в объеме, необходимом для их исполнения, включая размер планируем</w:t>
      </w:r>
      <w:r w:rsidR="00894CAF">
        <w:rPr>
          <w:rFonts w:ascii="Arial" w:hAnsi="Arial" w:cs="Arial"/>
          <w:sz w:val="24"/>
          <w:szCs w:val="24"/>
          <w:lang w:val="ru-RU"/>
        </w:rPr>
        <w:t>ого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к предоставлению из бюджета муниципального образования «Колпашевский район» ИМБТ. При этом размер доли софинансирования указанных расходных обязательств за счет средств бюджета поселения Колпашевского района не может составлять менее 0,01%. Предельный уровень софинансирования </w:t>
      </w:r>
      <w:r w:rsidR="00585BB3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Pr="007A6EF7">
        <w:rPr>
          <w:rFonts w:ascii="Arial" w:hAnsi="Arial" w:cs="Arial"/>
          <w:sz w:val="24"/>
          <w:szCs w:val="24"/>
          <w:lang w:val="ru-RU"/>
        </w:rPr>
        <w:t>Колпашевски</w:t>
      </w:r>
      <w:r w:rsidR="00585BB3">
        <w:rPr>
          <w:rFonts w:ascii="Arial" w:hAnsi="Arial" w:cs="Arial"/>
          <w:sz w:val="24"/>
          <w:szCs w:val="24"/>
          <w:lang w:val="ru-RU"/>
        </w:rPr>
        <w:t>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585BB3">
        <w:rPr>
          <w:rFonts w:ascii="Arial" w:hAnsi="Arial" w:cs="Arial"/>
          <w:sz w:val="24"/>
          <w:szCs w:val="24"/>
          <w:lang w:val="ru-RU"/>
        </w:rPr>
        <w:t>» р</w:t>
      </w:r>
      <w:r w:rsidRPr="007A6EF7">
        <w:rPr>
          <w:rFonts w:ascii="Arial" w:hAnsi="Arial" w:cs="Arial"/>
          <w:sz w:val="24"/>
          <w:szCs w:val="24"/>
          <w:lang w:val="ru-RU"/>
        </w:rPr>
        <w:t>асходного обязательства поселения Колпашевского района составляет 99,99%;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2) наличие утвержденного органом местного самоуправления поселения Колпашевского района порядка предоставления субсидии на компенсацию расходов по организации электроснабжения от дизельных электростанций;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3) наличие утвержденных тарифов для ресурсоснабжающих организаций, осуществляющих деятельность на территории поселения Колпашевского района и эксплуатирующих дизельные электростанции;</w:t>
      </w:r>
    </w:p>
    <w:p w:rsidR="00993B24" w:rsidRPr="007A6EF7" w:rsidRDefault="00585BB3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 заключение с</w:t>
      </w:r>
      <w:r w:rsidR="00993B24" w:rsidRPr="007A6EF7">
        <w:rPr>
          <w:rFonts w:ascii="Arial" w:hAnsi="Arial" w:cs="Arial"/>
          <w:sz w:val="24"/>
          <w:szCs w:val="24"/>
          <w:lang w:val="ru-RU"/>
        </w:rPr>
        <w:t xml:space="preserve">оглашения между уполномоченным органом местного самоуправления поселения Колпашевского района и Администрацией Колпашевского района о предоставлении из бюджета муниципального образования «Колпашевский район» ИМБТ бюджету поселения Колпашевского района, предусматривающего обязательства поселения Колпашевского района по </w:t>
      </w:r>
      <w:r w:rsidR="00993B24" w:rsidRPr="007A6EF7">
        <w:rPr>
          <w:rFonts w:ascii="Arial" w:hAnsi="Arial" w:cs="Arial"/>
          <w:sz w:val="24"/>
          <w:szCs w:val="24"/>
          <w:lang w:val="ru-RU"/>
        </w:rPr>
        <w:lastRenderedPageBreak/>
        <w:t>исполнению расходных обязательств, в целях софинансирования которых предоставляются ИМБТ, и ответственность за неисполнение предусмотренных указанным соглашением обязательств (далее - Соглашение).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62"/>
      <w:r w:rsidRPr="007A6EF7">
        <w:rPr>
          <w:rFonts w:ascii="Arial" w:hAnsi="Arial" w:cs="Arial"/>
          <w:sz w:val="24"/>
          <w:szCs w:val="24"/>
          <w:lang w:val="ru-RU"/>
        </w:rPr>
        <w:t>5. Методика расчета ИМБТ.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63"/>
      <w:bookmarkEnd w:id="0"/>
      <w:r w:rsidRPr="007A6EF7">
        <w:rPr>
          <w:rFonts w:ascii="Arial" w:hAnsi="Arial" w:cs="Arial"/>
          <w:sz w:val="24"/>
          <w:szCs w:val="24"/>
          <w:lang w:val="ru-RU"/>
        </w:rPr>
        <w:t xml:space="preserve">1) расчет потребности в ИМБТ на текущий финансовый год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>-му поселению Колпашевского района определяется по формуле 1:</w:t>
      </w:r>
    </w:p>
    <w:bookmarkEnd w:id="1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341495" cy="341630"/>
            <wp:effectExtent l="0" t="0" r="0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(1)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поселение Колпашевского района;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населенный пункт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Ч</w:t>
      </w:r>
      <w:r w:rsidRPr="007A6EF7">
        <w:rPr>
          <w:rFonts w:ascii="Arial" w:hAnsi="Arial" w:cs="Arial"/>
          <w:sz w:val="24"/>
          <w:szCs w:val="24"/>
          <w:vertAlign w:val="subscript"/>
        </w:rPr>
        <w:t> 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 состоянию на 1 января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году. Информация о численности населения в населенном пункте определяется на основании справки, предоставленной</w:t>
      </w:r>
      <w:r w:rsidR="00840E5C" w:rsidRPr="007A6EF7">
        <w:rPr>
          <w:rFonts w:ascii="Arial" w:hAnsi="Arial" w:cs="Arial"/>
          <w:sz w:val="24"/>
          <w:szCs w:val="24"/>
          <w:lang w:val="ru-RU"/>
        </w:rPr>
        <w:t xml:space="preserve"> соответствующим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поселением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92760" cy="254635"/>
            <wp:effectExtent l="0" t="0" r="0" b="0"/>
            <wp:docPr id="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вырабатываемую дизельной электростанцией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действующих с 1 января и с 1 июля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(руб./кВт*ч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Тпг - среднее арифметическое значение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(руб./кВт*ч с НДС);</w:t>
      </w:r>
    </w:p>
    <w:p w:rsidR="00AF2A15" w:rsidRPr="007A6EF7" w:rsidRDefault="00840E5C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sz w:val="24"/>
          <w:szCs w:val="24"/>
        </w:rPr>
        <w:t>i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тэ - значение показателя индексации тарифов для населения на электроэнергию (предельные максимальные индексы) на </w:t>
      </w:r>
      <w:r w:rsidR="00585BB3">
        <w:rPr>
          <w:rFonts w:ascii="Arial" w:hAnsi="Arial" w:cs="Arial"/>
          <w:sz w:val="24"/>
          <w:szCs w:val="24"/>
          <w:lang w:val="ru-RU"/>
        </w:rPr>
        <w:t>текущий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июля года, предшествующего </w:t>
      </w:r>
      <w:r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плановый объем потребления электроэнергии на одного человека в год, равный 800 кВт </w:t>
      </w:r>
      <w:r w:rsidRPr="007A6EF7">
        <w:rPr>
          <w:rFonts w:ascii="Arial" w:hAnsi="Arial" w:cs="Arial"/>
          <w:sz w:val="24"/>
          <w:szCs w:val="24"/>
        </w:rPr>
        <w:t>x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ч.;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45135" cy="254635"/>
            <wp:effectExtent l="1905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расчет потребности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определяемый по формуле 2, на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и установленных в рамках мероприятия по обеспечению доступа к воде питьевого качества населения сельских территорий, реализованного некоммерческой организацией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Фонд содействия развитию территорий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(далее - локальный водоочистной комплекс);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059305" cy="620395"/>
            <wp:effectExtent l="0" t="0" r="0" b="0"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 (2)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81635" cy="286385"/>
            <wp:effectExtent l="0" t="0" r="0" b="0"/>
            <wp:docPr id="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года,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предшествующего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(руб./кВт*час с НДС)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N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пэ</w:t>
      </w:r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лвок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электроотопление или централизованное отопление). Для локальных водоочистных комплексов с типом исполнения теплоснабжения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«штатное электроотопление»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8000 кВт*час, для локальных водоочистных комплексов с типом исполнения теплоснабжения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централизованное отопление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64"/>
      <w:r w:rsidRPr="007A6EF7">
        <w:rPr>
          <w:rFonts w:ascii="Arial" w:hAnsi="Arial" w:cs="Arial"/>
          <w:sz w:val="24"/>
          <w:szCs w:val="24"/>
          <w:lang w:val="ru-RU"/>
        </w:rPr>
        <w:t xml:space="preserve">2) размер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определяется по формуле 3:</w:t>
      </w:r>
    </w:p>
    <w:bookmarkEnd w:id="2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216660" cy="707390"/>
            <wp:effectExtent l="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размер потребности в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год, определенный по формуле 1;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S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поба - предельный объем доведенных бюджетных ассигнований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на компенсацию расходов по организации электроснабжения от дизельных электростанций.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В случае, если значение показателя </w:t>
      </w:r>
      <w:r w:rsidRPr="007A6EF7">
        <w:rPr>
          <w:rFonts w:ascii="Arial" w:hAnsi="Arial" w:cs="Arial"/>
          <w:sz w:val="24"/>
          <w:szCs w:val="24"/>
        </w:rPr>
        <w:t>S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поба больше суммы значений показателей </w:t>
      </w: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i/>
          <w:iCs/>
          <w:sz w:val="24"/>
          <w:szCs w:val="24"/>
        </w:rPr>
        <w:t>S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офг</w:t>
      </w:r>
      <w:r w:rsidRPr="007A6EF7">
        <w:rPr>
          <w:rFonts w:ascii="Arial" w:hAnsi="Arial" w:cs="Arial"/>
          <w:sz w:val="24"/>
          <w:szCs w:val="24"/>
          <w:vertAlign w:val="subscript"/>
        </w:rPr>
        <w:t> 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для каждого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значению соответствующего показателя </w:t>
      </w: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65"/>
      <w:r w:rsidRPr="007A6EF7">
        <w:rPr>
          <w:rFonts w:ascii="Arial" w:hAnsi="Arial" w:cs="Arial"/>
          <w:sz w:val="24"/>
          <w:szCs w:val="24"/>
          <w:lang w:val="ru-RU"/>
        </w:rPr>
        <w:t xml:space="preserve">3) общий объем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определяется по формуле 4:</w:t>
      </w:r>
    </w:p>
    <w:bookmarkEnd w:id="3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66775" cy="445135"/>
            <wp:effectExtent l="0" t="0" r="0" b="0"/>
            <wp:docPr id="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; (4)</w:t>
      </w:r>
    </w:p>
    <w:p w:rsidR="00D6601D" w:rsidRPr="007A6EF7" w:rsidRDefault="00D6601D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66"/>
      <w:r w:rsidRPr="007A6EF7">
        <w:rPr>
          <w:rFonts w:ascii="Arial" w:hAnsi="Arial" w:cs="Arial"/>
          <w:sz w:val="24"/>
          <w:szCs w:val="24"/>
          <w:lang w:val="ru-RU"/>
        </w:rPr>
        <w:t xml:space="preserve">4)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подлежит корректировке в текущем финансовом году с целью уточнения размера компенсации расходов ресурсоснабжающим организациям, обусловленных применением тарифов, установленных на текущий финансовый год для населения в системе централизованного энергоснабжения, и изменением цен на дизельное топливо. При этом скорректированный размер </w:t>
      </w:r>
      <w:r w:rsidR="000406C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 xml:space="preserve">поселению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>на текущий финансовый год определяется по формуле 5:</w:t>
      </w:r>
    </w:p>
    <w:bookmarkEnd w:id="4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190365" cy="659765"/>
            <wp:effectExtent l="0" t="0" r="0" b="0"/>
            <wp:docPr id="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 (5)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Чф</w:t>
      </w:r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к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 состоянию на 1 января текущего финансового года. Информация о численности населения в населенном пункте, используемая для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расчета значения показателя, определяется на основании справки, предоставленной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поселением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45135" cy="286385"/>
            <wp:effectExtent l="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вырабатываемую дизельной электростанцией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-ом населенном пункте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действующих с 1 января и с 1 июля текущего финансового года (руб./кВт*час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Ттг - среднее арифметическое значение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текущего финансового года (руб./кВт*час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кдиз</w:t>
      </w:r>
      <w:r w:rsidRPr="007A6EF7">
        <w:rPr>
          <w:rFonts w:ascii="Arial" w:hAnsi="Arial" w:cs="Arial"/>
          <w:sz w:val="24"/>
          <w:szCs w:val="24"/>
          <w:vertAlign w:val="subscript"/>
        </w:rPr>
        <w:t> 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скорректированный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 xml:space="preserve">поселению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на текущий финансовый год для возмещения затрат энергоснабжающим организациям, обусловленных изменением цен на дизельное топливо,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определяемый по формуле 6;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лвок</w:t>
      </w:r>
      <w:r w:rsidRPr="007A6EF7">
        <w:rPr>
          <w:rFonts w:ascii="Arial" w:hAnsi="Arial" w:cs="Arial"/>
          <w:sz w:val="24"/>
          <w:szCs w:val="24"/>
          <w:vertAlign w:val="subscript"/>
        </w:rPr>
        <w:t> 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определяемый по формуле 9,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440940" cy="548640"/>
            <wp:effectExtent l="0" t="0" r="0" b="0"/>
            <wp:docPr id="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(6)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дизф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рассчитанный объем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за 1-е полугодие текущего финансового года для возмещения затрат </w:t>
      </w:r>
      <w:r w:rsidRPr="007A6EF7">
        <w:rPr>
          <w:rFonts w:ascii="Arial" w:hAnsi="Arial" w:cs="Arial"/>
          <w:sz w:val="24"/>
          <w:szCs w:val="24"/>
        </w:rPr>
        <w:t>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-й энергоснабжающей организации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обусловленных изменением цен на дизельное топливо, определяемый по формуле 7;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94005" cy="254635"/>
            <wp:effectExtent l="1905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плановый расход дизельного топлива (тонн) для </w:t>
      </w:r>
      <w:r w:rsidRPr="007A6EF7">
        <w:rPr>
          <w:rFonts w:ascii="Arial" w:hAnsi="Arial" w:cs="Arial"/>
          <w:sz w:val="24"/>
          <w:szCs w:val="24"/>
        </w:rPr>
        <w:t>j</w:t>
      </w:r>
      <w:r w:rsidRPr="007A6EF7">
        <w:rPr>
          <w:rFonts w:ascii="Arial" w:hAnsi="Arial" w:cs="Arial"/>
          <w:sz w:val="24"/>
          <w:szCs w:val="24"/>
          <w:lang w:val="ru-RU"/>
        </w:rPr>
        <w:t>-й энергоснабжающей организации, определенный на период с 1 июля по 31 декабря текущего финансового года;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формуле 8;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670050" cy="278130"/>
            <wp:effectExtent l="0" t="0" r="0" b="0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(7)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V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ф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В случае, если приобретение дизельного топлива осуществлено энергоснабжающей организацией отличным от совместной закупки способом (в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соответствии с Федеральным законом от 18 июля 2011 года </w:t>
      </w:r>
      <w:r w:rsidRPr="007A6EF7">
        <w:rPr>
          <w:rFonts w:ascii="Arial" w:hAnsi="Arial" w:cs="Arial"/>
          <w:sz w:val="24"/>
          <w:szCs w:val="24"/>
        </w:rPr>
        <w:t>N 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223-ФЗ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О закупках товаров, работ, услуг отдельными видами юридических лиц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или Федеральным законом от 5 апреля 2013 года </w:t>
      </w:r>
      <w:r w:rsidRPr="007A6EF7">
        <w:rPr>
          <w:rFonts w:ascii="Arial" w:hAnsi="Arial" w:cs="Arial"/>
          <w:sz w:val="24"/>
          <w:szCs w:val="24"/>
        </w:rPr>
        <w:t>N 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44-ФЗ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), принимаемая для расчета показателя </w:t>
      </w:r>
      <w:r w:rsidRPr="007A6EF7">
        <w:rPr>
          <w:rFonts w:ascii="Arial" w:hAnsi="Arial" w:cs="Arial"/>
          <w:i/>
          <w:iCs/>
          <w:sz w:val="24"/>
          <w:szCs w:val="24"/>
        </w:rPr>
        <w:t>S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дизф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фактическая средневзвешенная цена дизельного топлива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81635" cy="254635"/>
            <wp:effectExtent l="19050" t="0" r="0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не может превышать среднее арифметическое значение максимальных оптовых цен ОАО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 ВНК и ЗАО «</w:t>
      </w:r>
      <w:r w:rsidRPr="007A6EF7">
        <w:rPr>
          <w:rFonts w:ascii="Arial" w:hAnsi="Arial" w:cs="Arial"/>
          <w:sz w:val="24"/>
          <w:szCs w:val="24"/>
          <w:lang w:val="ru-RU"/>
        </w:rPr>
        <w:t>Газпромнефть-Кузбасс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сложившихся в 1-м полугодии текущего финансового года (определяются по результатам мониторинга) и увеличенных на долю затрат на доставку. Доля затрат на доставку </w:t>
      </w:r>
      <w:r w:rsidR="00984A9C" w:rsidRPr="007A6EF7">
        <w:rPr>
          <w:rFonts w:ascii="Arial" w:hAnsi="Arial" w:cs="Arial"/>
          <w:sz w:val="24"/>
          <w:szCs w:val="24"/>
          <w:lang w:val="ru-RU"/>
        </w:rPr>
        <w:t xml:space="preserve">для поселений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>принимается равной 12%.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6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В случае, если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03275" cy="254635"/>
            <wp:effectExtent l="19050" t="0" r="0" b="0"/>
            <wp:docPr id="5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74015" cy="254635"/>
            <wp:effectExtent l="0" t="0" r="0" b="0"/>
            <wp:docPr id="5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184910" cy="278130"/>
            <wp:effectExtent l="0" t="0" r="0" b="0"/>
            <wp:docPr id="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(8)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ЦП2 - прогнозная цена дизельного топлива (руб./т с учетом НДС) на 2-е полугодие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 положительной динамики изменения цены дизельного топлива (рост цены) в 1-м полугодии текущего финансового года значение ЦП2 принимается равным максимальной фактической цене дизельного топлива (определяется по результат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ам мониторинга оптовых цен ОАО «</w:t>
      </w:r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Газпромнефть-Кузбасс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года), увеличенной на долю затрат на доставку.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 отрицательной динамики изменения цены дизельного топлива (снижение цены) в 1-м полугодии текущего финансового года значение ЦП2 принимается равным среднему арифметическому значению оптовых цен ОАО</w:t>
      </w:r>
      <w:r w:rsidR="00F96314" w:rsidRPr="007A6EF7">
        <w:rPr>
          <w:rFonts w:ascii="Arial" w:hAnsi="Arial" w:cs="Arial"/>
          <w:sz w:val="24"/>
          <w:szCs w:val="24"/>
          <w:lang w:val="ru-RU"/>
        </w:rPr>
        <w:t xml:space="preserve"> «</w:t>
      </w:r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Газпромнефть-Кузбасс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:rsidR="00AF2A15" w:rsidRPr="007A6EF7" w:rsidRDefault="00984A9C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Доля затрат на доставку для поселений Колпашевского района принимается равной 12%.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В случае, если расчетная величина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&lt;0,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767330" cy="548640"/>
            <wp:effectExtent l="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(9)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40385" cy="254635"/>
            <wp:effectExtent l="0" t="0" r="0" b="0"/>
            <wp:docPr id="4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текущего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финансового года (руб./кВт*час с НДС)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N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пэ</w:t>
      </w:r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лвок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электроотопление или централизованное отопление). Для локальных водоочистных комплексов с типом исполнения теплоснабжения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штатное электроотопление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8000 кВт*час, для локальных водоочистных комплексов с т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ипом исполнения теплоснабжения «</w:t>
      </w:r>
      <w:r w:rsidRPr="007A6EF7">
        <w:rPr>
          <w:rFonts w:ascii="Arial" w:hAnsi="Arial" w:cs="Arial"/>
          <w:sz w:val="24"/>
          <w:szCs w:val="24"/>
          <w:lang w:val="ru-RU"/>
        </w:rPr>
        <w:t>централизованное отопление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12140" cy="254635"/>
            <wp:effectExtent l="1905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величина разницы между размером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комплексов, фактически предоставленной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году, предшествующем текущему финансовому году, и необходимым размером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год, предшествующий текущему финансовому году, определяемая по формуле 10;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934335" cy="548640"/>
            <wp:effectExtent l="0" t="0" r="0" b="0"/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(10)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72770" cy="254635"/>
            <wp:effectExtent l="0" t="0" r="0" b="0"/>
            <wp:docPr id="4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размер фактически предоставленн</w:t>
      </w:r>
      <w:r w:rsidR="00FD00AA">
        <w:rPr>
          <w:rFonts w:ascii="Arial" w:hAnsi="Arial" w:cs="Arial"/>
          <w:sz w:val="24"/>
          <w:szCs w:val="24"/>
          <w:lang w:val="ru-RU"/>
        </w:rPr>
        <w:t>ых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году, предшествующем текущему финансовому году, </w:t>
      </w:r>
      <w:r w:rsidR="00FD00AA">
        <w:rPr>
          <w:rFonts w:ascii="Arial" w:hAnsi="Arial" w:cs="Arial"/>
          <w:sz w:val="24"/>
          <w:szCs w:val="24"/>
          <w:lang w:val="ru-RU"/>
        </w:rPr>
        <w:t xml:space="preserve">ИМБТ </w:t>
      </w:r>
      <w:r w:rsidRPr="007A6EF7">
        <w:rPr>
          <w:rFonts w:ascii="Arial" w:hAnsi="Arial" w:cs="Arial"/>
          <w:sz w:val="24"/>
          <w:szCs w:val="24"/>
          <w:lang w:val="ru-RU"/>
        </w:rPr>
        <w:t>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48640" cy="254635"/>
            <wp:effectExtent l="0" t="0" r="0" b="0"/>
            <wp:docPr id="4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в году, предшествующем текущему финансовому году (руб./кВт*час с НДС),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7A6EF7">
        <w:rPr>
          <w:rFonts w:ascii="Arial" w:hAnsi="Arial" w:cs="Arial"/>
          <w:sz w:val="24"/>
          <w:szCs w:val="24"/>
        </w:rPr>
        <w:t>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28015" cy="254635"/>
            <wp:effectExtent l="0" t="0" r="0" b="0"/>
            <wp:docPr id="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потребления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>-м локальным водоочистным комплексом, подтвержденный показаниями приборов учета потребления электрической энергии за год, предшествующий текущему финансовому году (кВт*час).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энергоснабжающей организацией.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В случае, если расчетная величина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10895" cy="254635"/>
            <wp:effectExtent l="19050" t="0" r="0" b="0"/>
            <wp:docPr id="3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12140" cy="254635"/>
            <wp:effectExtent l="1905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67"/>
      <w:r w:rsidRPr="007A6EF7">
        <w:rPr>
          <w:rFonts w:ascii="Arial" w:hAnsi="Arial" w:cs="Arial"/>
          <w:sz w:val="24"/>
          <w:szCs w:val="24"/>
          <w:lang w:val="ru-RU"/>
        </w:rPr>
        <w:t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(</w:t>
      </w:r>
      <w:r w:rsidRPr="007A6EF7">
        <w:rPr>
          <w:rFonts w:ascii="Arial" w:hAnsi="Arial" w:cs="Arial"/>
          <w:sz w:val="24"/>
          <w:szCs w:val="24"/>
        </w:rPr>
        <w:t>V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пл), цены дизельного топлива, учтенные при установлении экономически обоснованного тарифа на электроэнергию (ЦТ1, ЦТ2), применяемые для целей расчета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>, определяются на основании справки Департамента тарифного регулирования Томской области, предоставляемой по запросу Департамента</w:t>
      </w:r>
      <w:r w:rsidR="00F96314" w:rsidRPr="007A6EF7">
        <w:rPr>
          <w:rFonts w:ascii="Arial" w:hAnsi="Arial" w:cs="Arial"/>
          <w:sz w:val="24"/>
          <w:szCs w:val="24"/>
          <w:lang w:val="ru-RU"/>
        </w:rPr>
        <w:t xml:space="preserve"> ЖКХ и государственного надзора Томской области (далее – Департамент)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831E9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68"/>
      <w:bookmarkEnd w:id="5"/>
      <w:r w:rsidRPr="007A6EF7">
        <w:rPr>
          <w:rFonts w:ascii="Arial" w:hAnsi="Arial" w:cs="Arial"/>
          <w:sz w:val="24"/>
          <w:szCs w:val="24"/>
          <w:lang w:val="ru-RU"/>
        </w:rPr>
        <w:lastRenderedPageBreak/>
        <w:t>6) мониторинг оптовых цен дизельн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ого топлива, поставляемого ОАО «</w:t>
      </w:r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Газпромнефть-Кузбасс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(далее - мониторинг цен), применяемых для целей расчета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осуществляется Департаментом. </w:t>
      </w:r>
      <w:bookmarkEnd w:id="6"/>
    </w:p>
    <w:p w:rsidR="00AF2A15" w:rsidRPr="007A6EF7" w:rsidRDefault="00D45067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70"/>
      <w:r w:rsidRPr="00D45067">
        <w:rPr>
          <w:rFonts w:ascii="Arial" w:hAnsi="Arial" w:cs="Arial"/>
          <w:sz w:val="24"/>
          <w:szCs w:val="24"/>
          <w:lang w:val="ru-RU"/>
        </w:rPr>
        <w:t>6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. Показателем результативности использования </w:t>
      </w:r>
      <w:r w:rsidR="00831E9C">
        <w:rPr>
          <w:rFonts w:ascii="Arial" w:hAnsi="Arial" w:cs="Arial"/>
          <w:sz w:val="24"/>
          <w:szCs w:val="24"/>
          <w:lang w:val="ru-RU"/>
        </w:rPr>
        <w:t>ИМБТ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является доля убытков энергоснабжающих организаций, эксплуатирующих дизельные электростанции, возникших вследствие тарифного регулирования, компенсированных </w:t>
      </w:r>
      <w:r w:rsidR="005D352B" w:rsidRPr="005E7FAF">
        <w:rPr>
          <w:rFonts w:ascii="Arial" w:hAnsi="Arial" w:cs="Arial"/>
          <w:sz w:val="24"/>
          <w:szCs w:val="24"/>
          <w:lang w:val="ru-RU"/>
        </w:rPr>
        <w:t xml:space="preserve">из бюджета муниципального </w:t>
      </w:r>
      <w:r w:rsidR="00585BB3">
        <w:rPr>
          <w:rFonts w:ascii="Arial" w:hAnsi="Arial" w:cs="Arial"/>
          <w:sz w:val="24"/>
          <w:szCs w:val="24"/>
          <w:lang w:val="ru-RU"/>
        </w:rPr>
        <w:t>образования «Колпашевский район»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. Значение показателя результативности для </w:t>
      </w:r>
      <w:r w:rsidR="00831E9C" w:rsidRPr="007A6EF7">
        <w:rPr>
          <w:rFonts w:ascii="Arial" w:hAnsi="Arial" w:cs="Arial"/>
          <w:sz w:val="24"/>
          <w:szCs w:val="24"/>
          <w:lang w:val="ru-RU"/>
        </w:rPr>
        <w:t>поселени</w:t>
      </w:r>
      <w:r w:rsidR="00831E9C">
        <w:rPr>
          <w:rFonts w:ascii="Arial" w:hAnsi="Arial" w:cs="Arial"/>
          <w:sz w:val="24"/>
          <w:szCs w:val="24"/>
          <w:lang w:val="ru-RU"/>
        </w:rPr>
        <w:t>я</w:t>
      </w:r>
      <w:r w:rsidR="00831E9C" w:rsidRPr="007A6EF7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устанавливается в Соглашении.</w:t>
      </w:r>
    </w:p>
    <w:p w:rsidR="002F3989" w:rsidRPr="002F3989" w:rsidRDefault="00D45067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sub_71"/>
      <w:bookmarkEnd w:id="7"/>
      <w:r w:rsidRPr="00D45067">
        <w:rPr>
          <w:rFonts w:ascii="Arial" w:hAnsi="Arial" w:cs="Arial"/>
          <w:sz w:val="24"/>
          <w:szCs w:val="24"/>
          <w:lang w:val="ru-RU"/>
        </w:rPr>
        <w:t>7</w:t>
      </w:r>
      <w:r w:rsidR="00AF2A15" w:rsidRPr="00D45067">
        <w:rPr>
          <w:rFonts w:ascii="Arial" w:hAnsi="Arial" w:cs="Arial"/>
          <w:sz w:val="24"/>
          <w:szCs w:val="24"/>
          <w:lang w:val="ru-RU"/>
        </w:rPr>
        <w:t xml:space="preserve">. В случае изменения исходных показателей, используемых для расчета </w:t>
      </w:r>
      <w:r w:rsidR="00831E9C" w:rsidRPr="00D45067">
        <w:rPr>
          <w:rFonts w:ascii="Arial" w:hAnsi="Arial" w:cs="Arial"/>
          <w:sz w:val="24"/>
          <w:szCs w:val="24"/>
          <w:lang w:val="ru-RU"/>
        </w:rPr>
        <w:t>ИМБТ</w:t>
      </w:r>
      <w:r w:rsidR="00AF2A15" w:rsidRPr="00D45067">
        <w:rPr>
          <w:rFonts w:ascii="Arial" w:hAnsi="Arial" w:cs="Arial"/>
          <w:sz w:val="24"/>
          <w:szCs w:val="24"/>
          <w:lang w:val="ru-RU"/>
        </w:rPr>
        <w:t xml:space="preserve">, </w:t>
      </w:r>
      <w:r w:rsidR="002F3989">
        <w:rPr>
          <w:rFonts w:ascii="Arial" w:hAnsi="Arial" w:cs="Arial"/>
          <w:sz w:val="24"/>
          <w:szCs w:val="24"/>
          <w:lang w:val="ru-RU"/>
        </w:rPr>
        <w:t>а также при изменении объемов средств, поступающих из бюджета Томской области, на софинансирование расходных обязательств поселений Колпашевского района, внос</w:t>
      </w:r>
      <w:r w:rsidR="002128EB">
        <w:rPr>
          <w:rFonts w:ascii="Arial" w:hAnsi="Arial" w:cs="Arial"/>
          <w:sz w:val="24"/>
          <w:szCs w:val="24"/>
          <w:lang w:val="ru-RU"/>
        </w:rPr>
        <w:t>я</w:t>
      </w:r>
      <w:r w:rsidR="002F3989">
        <w:rPr>
          <w:rFonts w:ascii="Arial" w:hAnsi="Arial" w:cs="Arial"/>
          <w:sz w:val="24"/>
          <w:szCs w:val="24"/>
          <w:lang w:val="ru-RU"/>
        </w:rPr>
        <w:t>т</w:t>
      </w:r>
      <w:r w:rsidR="002128EB">
        <w:rPr>
          <w:rFonts w:ascii="Arial" w:hAnsi="Arial" w:cs="Arial"/>
          <w:sz w:val="24"/>
          <w:szCs w:val="24"/>
          <w:lang w:val="ru-RU"/>
        </w:rPr>
        <w:t>ся</w:t>
      </w:r>
      <w:r w:rsidR="002F3989">
        <w:rPr>
          <w:rFonts w:ascii="Arial" w:hAnsi="Arial" w:cs="Arial"/>
          <w:sz w:val="24"/>
          <w:szCs w:val="24"/>
          <w:lang w:val="ru-RU"/>
        </w:rPr>
        <w:t xml:space="preserve"> </w:t>
      </w:r>
      <w:r w:rsidR="002128EB">
        <w:rPr>
          <w:rFonts w:ascii="Arial" w:hAnsi="Arial" w:cs="Arial"/>
          <w:sz w:val="24"/>
          <w:szCs w:val="24"/>
          <w:lang w:val="ru-RU"/>
        </w:rPr>
        <w:t xml:space="preserve">соответствующие </w:t>
      </w:r>
      <w:r w:rsidR="002F3989">
        <w:rPr>
          <w:rFonts w:ascii="Arial" w:hAnsi="Arial" w:cs="Arial"/>
          <w:sz w:val="24"/>
          <w:szCs w:val="24"/>
          <w:lang w:val="ru-RU"/>
        </w:rPr>
        <w:t xml:space="preserve">изменения в </w:t>
      </w:r>
      <w:r w:rsidR="002128EB">
        <w:rPr>
          <w:rFonts w:ascii="Arial" w:hAnsi="Arial" w:cs="Arial"/>
          <w:sz w:val="24"/>
          <w:szCs w:val="24"/>
          <w:lang w:val="ru-RU"/>
        </w:rPr>
        <w:t>постановление Администрации Колпашевского района о распределении ИМБТ.</w:t>
      </w:r>
      <w:r w:rsidR="007E015C">
        <w:rPr>
          <w:rFonts w:ascii="Arial" w:hAnsi="Arial" w:cs="Arial"/>
          <w:sz w:val="24"/>
          <w:szCs w:val="24"/>
          <w:lang w:val="ru-RU"/>
        </w:rPr>
        <w:t>»</w:t>
      </w:r>
      <w:r w:rsidR="00925607">
        <w:rPr>
          <w:rFonts w:ascii="Arial" w:hAnsi="Arial" w:cs="Arial"/>
          <w:sz w:val="24"/>
          <w:szCs w:val="24"/>
          <w:lang w:val="ru-RU"/>
        </w:rPr>
        <w:t>.</w:t>
      </w:r>
    </w:p>
    <w:bookmarkEnd w:id="8"/>
    <w:p w:rsidR="000406C7" w:rsidRDefault="00AF3E91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с </w:t>
      </w:r>
      <w:r>
        <w:rPr>
          <w:rFonts w:ascii="Arial" w:hAnsi="Arial" w:cs="Arial"/>
          <w:sz w:val="24"/>
          <w:szCs w:val="24"/>
          <w:lang w:val="ru-RU"/>
        </w:rPr>
        <w:t>01.01.2024</w:t>
      </w:r>
      <w:r w:rsidR="000406C7">
        <w:rPr>
          <w:rFonts w:ascii="Arial" w:hAnsi="Arial" w:cs="Arial"/>
          <w:sz w:val="24"/>
          <w:szCs w:val="24"/>
          <w:lang w:val="ru-RU"/>
        </w:rPr>
        <w:t>.</w:t>
      </w:r>
    </w:p>
    <w:p w:rsidR="000406C7" w:rsidRPr="00EB2A32" w:rsidRDefault="002F3989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F3989">
        <w:rPr>
          <w:rFonts w:ascii="Arial" w:hAnsi="Arial" w:cs="Arial"/>
          <w:sz w:val="24"/>
          <w:szCs w:val="24"/>
          <w:lang w:val="ru-RU"/>
        </w:rPr>
        <w:t>3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</w:t>
      </w:r>
      <w:r w:rsidR="000406C7" w:rsidRPr="00EB2A32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</w:t>
      </w:r>
      <w:r w:rsidR="000406C7" w:rsidRPr="00EB2A32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="000406C7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0406C7" w:rsidRPr="009F7A8C" w:rsidTr="00997A55">
        <w:trPr>
          <w:trHeight w:val="358"/>
        </w:trPr>
        <w:tc>
          <w:tcPr>
            <w:tcW w:w="4111" w:type="dxa"/>
          </w:tcPr>
          <w:p w:rsidR="000406C7" w:rsidRPr="009F7A8C" w:rsidRDefault="005A4BD4" w:rsidP="005A4BD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И.о.</w:t>
            </w:r>
            <w:r w:rsidR="000406C7" w:rsidRPr="009F7A8C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="000406C7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0406C7" w:rsidRPr="009F7A8C" w:rsidTr="00997A55">
        <w:trPr>
          <w:trHeight w:val="344"/>
        </w:trPr>
        <w:tc>
          <w:tcPr>
            <w:tcW w:w="4111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5A4BD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5A4BD4">
              <w:rPr>
                <w:rFonts w:ascii="Arial" w:hAnsi="Arial" w:cs="Arial"/>
                <w:sz w:val="24"/>
                <w:szCs w:val="24"/>
                <w:lang w:val="ru-RU"/>
              </w:rPr>
              <w:t>Ю.А.Некрасов</w:t>
            </w:r>
            <w:bookmarkStart w:id="9" w:name="_GoBack"/>
            <w:bookmarkEnd w:id="9"/>
          </w:p>
        </w:tc>
        <w:tc>
          <w:tcPr>
            <w:tcW w:w="1843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997A55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AF3E9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A1953">
              <w:rPr>
                <w:rFonts w:ascii="Arial" w:hAnsi="Arial" w:cs="Arial"/>
                <w:sz w:val="24"/>
                <w:szCs w:val="24"/>
                <w:lang w:val="ru-RU"/>
              </w:rPr>
              <w:t>Тока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рева</w:t>
            </w:r>
          </w:p>
        </w:tc>
      </w:tr>
    </w:tbl>
    <w:p w:rsidR="000406C7" w:rsidRPr="000330AC" w:rsidRDefault="000406C7" w:rsidP="000330AC">
      <w:pPr>
        <w:rPr>
          <w:lang w:val="ru-RU"/>
        </w:rPr>
      </w:pPr>
    </w:p>
    <w:sectPr w:rsidR="000406C7" w:rsidRPr="000330AC" w:rsidSect="002B237C">
      <w:headerReference w:type="default" r:id="rId40"/>
      <w:footerReference w:type="default" r:id="rId41"/>
      <w:pgSz w:w="11906" w:h="16838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3C" w:rsidRDefault="007D4A3C" w:rsidP="00B24D9F">
      <w:r>
        <w:separator/>
      </w:r>
    </w:p>
  </w:endnote>
  <w:endnote w:type="continuationSeparator" w:id="0">
    <w:p w:rsidR="007D4A3C" w:rsidRDefault="007D4A3C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3C" w:rsidRDefault="007D4A3C" w:rsidP="00B24D9F">
      <w:r>
        <w:separator/>
      </w:r>
    </w:p>
  </w:footnote>
  <w:footnote w:type="continuationSeparator" w:id="0">
    <w:p w:rsidR="007D4A3C" w:rsidRDefault="007D4A3C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0259"/>
      <w:docPartObj>
        <w:docPartGallery w:val="Page Numbers (Top of Page)"/>
        <w:docPartUnique/>
      </w:docPartObj>
    </w:sdtPr>
    <w:sdtEndPr/>
    <w:sdtContent>
      <w:p w:rsidR="00AD72DD" w:rsidRDefault="00AD72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D4" w:rsidRPr="005A4BD4">
          <w:rPr>
            <w:noProof/>
            <w:lang w:val="ru-RU"/>
          </w:rPr>
          <w:t>8</w:t>
        </w:r>
        <w:r>
          <w:fldChar w:fldCharType="end"/>
        </w:r>
      </w:p>
    </w:sdtContent>
  </w:sdt>
  <w:p w:rsidR="00AD72DD" w:rsidRDefault="00AD72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7D7"/>
    <w:multiLevelType w:val="hybridMultilevel"/>
    <w:tmpl w:val="20BAFE5E"/>
    <w:lvl w:ilvl="0" w:tplc="04C690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B62025"/>
    <w:multiLevelType w:val="hybridMultilevel"/>
    <w:tmpl w:val="4DC4C840"/>
    <w:lvl w:ilvl="0" w:tplc="86BC7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07DC3"/>
    <w:multiLevelType w:val="multilevel"/>
    <w:tmpl w:val="1C86BF7C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406C7"/>
    <w:rsid w:val="00072FA3"/>
    <w:rsid w:val="0008673D"/>
    <w:rsid w:val="000E15AF"/>
    <w:rsid w:val="00120E79"/>
    <w:rsid w:val="001229EA"/>
    <w:rsid w:val="00126E7A"/>
    <w:rsid w:val="0013247A"/>
    <w:rsid w:val="00140FBB"/>
    <w:rsid w:val="001537EB"/>
    <w:rsid w:val="00156D53"/>
    <w:rsid w:val="0016278F"/>
    <w:rsid w:val="001726A1"/>
    <w:rsid w:val="00176848"/>
    <w:rsid w:val="00182620"/>
    <w:rsid w:val="001A1084"/>
    <w:rsid w:val="001D346C"/>
    <w:rsid w:val="001D62B4"/>
    <w:rsid w:val="001D7A6E"/>
    <w:rsid w:val="001F10F6"/>
    <w:rsid w:val="002128EB"/>
    <w:rsid w:val="00231ABC"/>
    <w:rsid w:val="00235A5F"/>
    <w:rsid w:val="00245E03"/>
    <w:rsid w:val="00252019"/>
    <w:rsid w:val="00252D15"/>
    <w:rsid w:val="002560B8"/>
    <w:rsid w:val="002B237C"/>
    <w:rsid w:val="002B74DD"/>
    <w:rsid w:val="002C6C79"/>
    <w:rsid w:val="002F27C6"/>
    <w:rsid w:val="002F3989"/>
    <w:rsid w:val="002F5D38"/>
    <w:rsid w:val="00327166"/>
    <w:rsid w:val="00330536"/>
    <w:rsid w:val="003568AB"/>
    <w:rsid w:val="003610C2"/>
    <w:rsid w:val="00364672"/>
    <w:rsid w:val="003760FB"/>
    <w:rsid w:val="003907FC"/>
    <w:rsid w:val="00394ABD"/>
    <w:rsid w:val="003A1953"/>
    <w:rsid w:val="003D5BD3"/>
    <w:rsid w:val="003D7834"/>
    <w:rsid w:val="003D7FAC"/>
    <w:rsid w:val="003E57D3"/>
    <w:rsid w:val="00413C13"/>
    <w:rsid w:val="004239A6"/>
    <w:rsid w:val="00424708"/>
    <w:rsid w:val="00465F26"/>
    <w:rsid w:val="00472780"/>
    <w:rsid w:val="00482F49"/>
    <w:rsid w:val="00483870"/>
    <w:rsid w:val="00491FC2"/>
    <w:rsid w:val="004B59ED"/>
    <w:rsid w:val="004C1F07"/>
    <w:rsid w:val="005221C8"/>
    <w:rsid w:val="00525036"/>
    <w:rsid w:val="00526179"/>
    <w:rsid w:val="00542C33"/>
    <w:rsid w:val="00563C9A"/>
    <w:rsid w:val="0057482A"/>
    <w:rsid w:val="005850FE"/>
    <w:rsid w:val="00585BB3"/>
    <w:rsid w:val="005A4BD4"/>
    <w:rsid w:val="005A4CD8"/>
    <w:rsid w:val="005A5BF8"/>
    <w:rsid w:val="005A5F0C"/>
    <w:rsid w:val="005B053E"/>
    <w:rsid w:val="005B4D54"/>
    <w:rsid w:val="005D352B"/>
    <w:rsid w:val="005D7F3B"/>
    <w:rsid w:val="005E3020"/>
    <w:rsid w:val="005F1D62"/>
    <w:rsid w:val="0062407D"/>
    <w:rsid w:val="00642BC3"/>
    <w:rsid w:val="00655516"/>
    <w:rsid w:val="00656090"/>
    <w:rsid w:val="0066169D"/>
    <w:rsid w:val="006743EA"/>
    <w:rsid w:val="006752BF"/>
    <w:rsid w:val="006755EA"/>
    <w:rsid w:val="006872D6"/>
    <w:rsid w:val="006B6317"/>
    <w:rsid w:val="006C05A7"/>
    <w:rsid w:val="006C7A1C"/>
    <w:rsid w:val="006E5435"/>
    <w:rsid w:val="006F0287"/>
    <w:rsid w:val="007178E0"/>
    <w:rsid w:val="00721349"/>
    <w:rsid w:val="007272C1"/>
    <w:rsid w:val="00744B04"/>
    <w:rsid w:val="00790C4D"/>
    <w:rsid w:val="007923B4"/>
    <w:rsid w:val="00793D7F"/>
    <w:rsid w:val="007A6EF7"/>
    <w:rsid w:val="007B1084"/>
    <w:rsid w:val="007B4042"/>
    <w:rsid w:val="007B5665"/>
    <w:rsid w:val="007C2F9C"/>
    <w:rsid w:val="007D4A3C"/>
    <w:rsid w:val="007E015C"/>
    <w:rsid w:val="007F30CD"/>
    <w:rsid w:val="007F3189"/>
    <w:rsid w:val="00806B24"/>
    <w:rsid w:val="00813D63"/>
    <w:rsid w:val="008246A2"/>
    <w:rsid w:val="00827890"/>
    <w:rsid w:val="00827A5A"/>
    <w:rsid w:val="00831E9C"/>
    <w:rsid w:val="00840E5C"/>
    <w:rsid w:val="00841AFA"/>
    <w:rsid w:val="00842E97"/>
    <w:rsid w:val="00855AA1"/>
    <w:rsid w:val="008569EF"/>
    <w:rsid w:val="00877024"/>
    <w:rsid w:val="00894CAF"/>
    <w:rsid w:val="008979DC"/>
    <w:rsid w:val="008A7D22"/>
    <w:rsid w:val="008A7D38"/>
    <w:rsid w:val="008B1095"/>
    <w:rsid w:val="008B48A3"/>
    <w:rsid w:val="008B6B6E"/>
    <w:rsid w:val="008C21EA"/>
    <w:rsid w:val="008C5CF7"/>
    <w:rsid w:val="008C79DD"/>
    <w:rsid w:val="008F5BBE"/>
    <w:rsid w:val="00913151"/>
    <w:rsid w:val="009211E7"/>
    <w:rsid w:val="00925607"/>
    <w:rsid w:val="00950EF0"/>
    <w:rsid w:val="00984A9C"/>
    <w:rsid w:val="00993B24"/>
    <w:rsid w:val="009B5A9D"/>
    <w:rsid w:val="009C46BB"/>
    <w:rsid w:val="009C4807"/>
    <w:rsid w:val="009E42BB"/>
    <w:rsid w:val="009F7A8C"/>
    <w:rsid w:val="00A03415"/>
    <w:rsid w:val="00A8211D"/>
    <w:rsid w:val="00A82A03"/>
    <w:rsid w:val="00A94757"/>
    <w:rsid w:val="00A9553F"/>
    <w:rsid w:val="00AB7B21"/>
    <w:rsid w:val="00AC1724"/>
    <w:rsid w:val="00AC7F13"/>
    <w:rsid w:val="00AD07BD"/>
    <w:rsid w:val="00AD72DD"/>
    <w:rsid w:val="00AF2A15"/>
    <w:rsid w:val="00AF3E91"/>
    <w:rsid w:val="00AF7A00"/>
    <w:rsid w:val="00B04A3D"/>
    <w:rsid w:val="00B07221"/>
    <w:rsid w:val="00B22393"/>
    <w:rsid w:val="00B24D9F"/>
    <w:rsid w:val="00B2651F"/>
    <w:rsid w:val="00B32066"/>
    <w:rsid w:val="00B35723"/>
    <w:rsid w:val="00B62D74"/>
    <w:rsid w:val="00B63347"/>
    <w:rsid w:val="00B641BB"/>
    <w:rsid w:val="00B92F39"/>
    <w:rsid w:val="00BA4BCA"/>
    <w:rsid w:val="00BA5665"/>
    <w:rsid w:val="00BC5F02"/>
    <w:rsid w:val="00C12D05"/>
    <w:rsid w:val="00C13111"/>
    <w:rsid w:val="00C15E5F"/>
    <w:rsid w:val="00C34D93"/>
    <w:rsid w:val="00C37077"/>
    <w:rsid w:val="00C547AF"/>
    <w:rsid w:val="00C56AA4"/>
    <w:rsid w:val="00C85175"/>
    <w:rsid w:val="00C8539C"/>
    <w:rsid w:val="00CA28E4"/>
    <w:rsid w:val="00CD0922"/>
    <w:rsid w:val="00CD44BC"/>
    <w:rsid w:val="00D06952"/>
    <w:rsid w:val="00D22033"/>
    <w:rsid w:val="00D31F3F"/>
    <w:rsid w:val="00D32DFD"/>
    <w:rsid w:val="00D45067"/>
    <w:rsid w:val="00D6601D"/>
    <w:rsid w:val="00D74CAC"/>
    <w:rsid w:val="00D758A9"/>
    <w:rsid w:val="00D8607F"/>
    <w:rsid w:val="00DA3E35"/>
    <w:rsid w:val="00DA455D"/>
    <w:rsid w:val="00DA5E9D"/>
    <w:rsid w:val="00DB57C7"/>
    <w:rsid w:val="00DF0253"/>
    <w:rsid w:val="00E20C20"/>
    <w:rsid w:val="00E2742B"/>
    <w:rsid w:val="00E51F0A"/>
    <w:rsid w:val="00E61DAB"/>
    <w:rsid w:val="00EB0C9E"/>
    <w:rsid w:val="00EB2A32"/>
    <w:rsid w:val="00EC7173"/>
    <w:rsid w:val="00ED6695"/>
    <w:rsid w:val="00EE5307"/>
    <w:rsid w:val="00F03DD9"/>
    <w:rsid w:val="00F0581D"/>
    <w:rsid w:val="00F06E99"/>
    <w:rsid w:val="00F32BE5"/>
    <w:rsid w:val="00F464A8"/>
    <w:rsid w:val="00F4754D"/>
    <w:rsid w:val="00F5135A"/>
    <w:rsid w:val="00F631E9"/>
    <w:rsid w:val="00F72162"/>
    <w:rsid w:val="00F72FF1"/>
    <w:rsid w:val="00F95582"/>
    <w:rsid w:val="00F96314"/>
    <w:rsid w:val="00FA3C81"/>
    <w:rsid w:val="00FB544D"/>
    <w:rsid w:val="00FD00A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7A6EF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22</cp:revision>
  <cp:lastPrinted>2023-12-15T08:23:00Z</cp:lastPrinted>
  <dcterms:created xsi:type="dcterms:W3CDTF">2023-10-18T05:40:00Z</dcterms:created>
  <dcterms:modified xsi:type="dcterms:W3CDTF">2023-12-15T08:23:00Z</dcterms:modified>
</cp:coreProperties>
</file>