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C1" w:rsidRDefault="006774C1" w:rsidP="006774C1">
      <w:pPr>
        <w:jc w:val="center"/>
        <w:rPr>
          <w:b/>
          <w:sz w:val="24"/>
        </w:rPr>
      </w:pPr>
      <w:r>
        <w:rPr>
          <w:b/>
          <w:sz w:val="24"/>
        </w:rPr>
        <w:t>Квартальный отчет Администрации Колпашевского района по работе с обращениями граждан ( по формам обращений: Устное обращение, Письмо, Телеграмма, Телефон, эл. почта )</w:t>
      </w:r>
    </w:p>
    <w:p w:rsidR="006774C1" w:rsidRDefault="006774C1" w:rsidP="006774C1">
      <w:pPr>
        <w:rPr>
          <w:sz w:val="16"/>
        </w:rPr>
      </w:pPr>
    </w:p>
    <w:p w:rsidR="006774C1" w:rsidRDefault="006774C1" w:rsidP="006774C1">
      <w:pPr>
        <w:jc w:val="center"/>
        <w:rPr>
          <w:b/>
          <w:sz w:val="24"/>
        </w:rPr>
      </w:pPr>
      <w:r>
        <w:rPr>
          <w:b/>
          <w:sz w:val="24"/>
        </w:rPr>
        <w:t>c 01.10.2010 по 31.12.2010</w:t>
      </w:r>
    </w:p>
    <w:p w:rsidR="006774C1" w:rsidRDefault="006774C1" w:rsidP="006774C1">
      <w:pPr>
        <w:jc w:val="center"/>
        <w:rPr>
          <w:b/>
          <w:sz w:val="24"/>
        </w:rPr>
      </w:pPr>
    </w:p>
    <w:p w:rsidR="006774C1" w:rsidRDefault="006774C1" w:rsidP="006774C1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6774C1" w:rsidRDefault="006774C1" w:rsidP="006774C1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6774C1" w:rsidTr="006774C1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4C1" w:rsidRPr="006774C1" w:rsidRDefault="006774C1" w:rsidP="006774C1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4C1" w:rsidRPr="006774C1" w:rsidRDefault="006774C1" w:rsidP="006774C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2009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4C1" w:rsidRPr="006774C1" w:rsidRDefault="006774C1" w:rsidP="006774C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2010 г</w:t>
            </w:r>
          </w:p>
        </w:tc>
      </w:tr>
      <w:tr w:rsidR="006774C1" w:rsidTr="006774C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4C1" w:rsidRPr="006774C1" w:rsidRDefault="006774C1" w:rsidP="006774C1">
            <w:pPr>
              <w:spacing w:before="60" w:after="60"/>
              <w:jc w:val="center"/>
              <w:rPr>
                <w:b/>
                <w:sz w:val="18"/>
              </w:rPr>
            </w:pPr>
            <w:r w:rsidRPr="006774C1">
              <w:rPr>
                <w:b/>
                <w:sz w:val="18"/>
              </w:rPr>
              <w:t>Всего: обращений/вопросов</w:t>
            </w:r>
          </w:p>
          <w:p w:rsidR="006774C1" w:rsidRPr="006774C1" w:rsidRDefault="006774C1" w:rsidP="006774C1">
            <w:pPr>
              <w:spacing w:before="60" w:after="60"/>
              <w:jc w:val="center"/>
              <w:rPr>
                <w:b/>
                <w:sz w:val="18"/>
              </w:rPr>
            </w:pPr>
            <w:r w:rsidRPr="006774C1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4C1" w:rsidRDefault="006774C1" w:rsidP="006774C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124 / 125</w:t>
            </w:r>
          </w:p>
          <w:p w:rsidR="006774C1" w:rsidRPr="006774C1" w:rsidRDefault="006774C1" w:rsidP="006774C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29 / 29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4C1" w:rsidRDefault="006774C1" w:rsidP="006774C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72 / 72</w:t>
            </w:r>
          </w:p>
          <w:p w:rsidR="006774C1" w:rsidRPr="006774C1" w:rsidRDefault="006774C1" w:rsidP="006774C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6774C1" w:rsidTr="006774C1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74C1" w:rsidRPr="006774C1" w:rsidRDefault="006774C1" w:rsidP="006774C1">
            <w:pPr>
              <w:spacing w:before="60" w:after="60"/>
              <w:jc w:val="center"/>
              <w:rPr>
                <w:sz w:val="18"/>
              </w:rPr>
            </w:pPr>
            <w:r w:rsidRPr="006774C1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74C1" w:rsidRPr="006774C1" w:rsidRDefault="006774C1" w:rsidP="006774C1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4C1" w:rsidRPr="006774C1" w:rsidRDefault="006774C1" w:rsidP="006774C1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6774C1" w:rsidRPr="006774C1" w:rsidTr="00EC09DB"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spacing w:before="120" w:after="120"/>
              <w:rPr>
                <w:sz w:val="24"/>
              </w:rPr>
            </w:pPr>
            <w:r w:rsidRPr="006774C1">
              <w:rPr>
                <w:sz w:val="24"/>
              </w:rPr>
              <w:t xml:space="preserve">  По видам обращения: 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жалоба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2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93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5</w:t>
            </w:r>
            <w:r>
              <w:rPr>
                <w:sz w:val="18"/>
              </w:rPr>
              <w:t>6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28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12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предложение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0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ходатайство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2</w:t>
            </w:r>
          </w:p>
        </w:tc>
      </w:tr>
      <w:tr w:rsidR="006774C1" w:rsidRPr="006774C1" w:rsidTr="0016638F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spacing w:before="120" w:after="120"/>
              <w:rPr>
                <w:sz w:val="24"/>
              </w:rPr>
            </w:pPr>
            <w:r w:rsidRPr="006774C1">
              <w:rPr>
                <w:sz w:val="24"/>
              </w:rPr>
              <w:t xml:space="preserve">  По формам обращения: 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89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5</w:t>
            </w:r>
            <w:r>
              <w:rPr>
                <w:sz w:val="18"/>
              </w:rPr>
              <w:t>1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Телеграмма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3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30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12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6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Личный прием руководителем: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6774C1" w:rsidRPr="006774C1" w:rsidTr="0016330D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spacing w:before="120" w:after="120"/>
              <w:rPr>
                <w:sz w:val="24"/>
              </w:rPr>
            </w:pPr>
            <w:r w:rsidRPr="006774C1">
              <w:rPr>
                <w:sz w:val="24"/>
              </w:rPr>
              <w:t xml:space="preserve"> По  признаку обращения: 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5</w:t>
            </w:r>
          </w:p>
        </w:tc>
      </w:tr>
      <w:tr w:rsidR="006774C1" w:rsidRPr="006774C1" w:rsidTr="005D4568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spacing w:before="120" w:after="120"/>
              <w:rPr>
                <w:sz w:val="24"/>
              </w:rPr>
            </w:pPr>
            <w:r w:rsidRPr="006774C1">
              <w:rPr>
                <w:sz w:val="24"/>
              </w:rPr>
              <w:t xml:space="preserve"> По категории заявителя:  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Безработные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3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Военнослужащие и члены их семей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1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0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Коренные малочисленные народы Севера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0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lastRenderedPageBreak/>
              <w:t>Многодетные семьи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4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Одинокие матери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2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Осужденные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0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17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9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91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49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4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Работники сферы предпринимательства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1</w:t>
            </w:r>
          </w:p>
        </w:tc>
      </w:tr>
      <w:tr w:rsidR="006774C1" w:rsidRPr="006774C1" w:rsidTr="006774C1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Участники военных конфликтов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0</w:t>
            </w:r>
          </w:p>
        </w:tc>
      </w:tr>
    </w:tbl>
    <w:p w:rsidR="006774C1" w:rsidRDefault="006774C1" w:rsidP="006774C1">
      <w:pPr>
        <w:rPr>
          <w:sz w:val="18"/>
        </w:rPr>
      </w:pPr>
    </w:p>
    <w:p w:rsidR="006774C1" w:rsidRDefault="006774C1" w:rsidP="006774C1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муниципальных образований: </w:t>
      </w:r>
    </w:p>
    <w:p w:rsidR="006774C1" w:rsidRDefault="006774C1" w:rsidP="006774C1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Колпашевское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50 / 53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56 / 56                                                                                             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Национальное Иванкинское сельское поселе</w:t>
            </w:r>
            <w:r>
              <w:rPr>
                <w:sz w:val="18"/>
              </w:rPr>
              <w:t>ние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Новогоренское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Новоселовское сель</w:t>
            </w:r>
            <w:r>
              <w:rPr>
                <w:sz w:val="18"/>
              </w:rPr>
              <w:t>с</w:t>
            </w:r>
            <w:r w:rsidRPr="006774C1">
              <w:rPr>
                <w:sz w:val="18"/>
              </w:rPr>
              <w:t>кое поселение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Саровское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4 / 4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Чажемтовское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7 / 7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</w:tbl>
    <w:p w:rsidR="006774C1" w:rsidRDefault="006774C1" w:rsidP="006774C1">
      <w:pPr>
        <w:rPr>
          <w:sz w:val="18"/>
        </w:rPr>
      </w:pPr>
    </w:p>
    <w:p w:rsidR="006774C1" w:rsidRDefault="006774C1" w:rsidP="006774C1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6774C1" w:rsidRDefault="006774C1" w:rsidP="006774C1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33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32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6774C1" w:rsidRDefault="006774C1" w:rsidP="006774C1">
      <w:pPr>
        <w:rPr>
          <w:sz w:val="18"/>
        </w:rPr>
      </w:pPr>
    </w:p>
    <w:p w:rsidR="006774C1" w:rsidRDefault="006774C1" w:rsidP="006774C1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6774C1" w:rsidRDefault="006774C1" w:rsidP="006774C1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ГАЗИФИКАЦИЯ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45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 xml:space="preserve">     ПРИВАТИЗАЦИЯ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lastRenderedPageBreak/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18                                                                                                  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ТРАНСПОРТ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КУЛЬТУРА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ЗАКОННОСТЬ И ПРАВОПОРЯДОК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ОТНОШ-ИЕ К ОРГАНАМ ВЛАСТИ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СВЯЗЬ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ТОРГОВЛЯ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6774C1" w:rsidTr="006774C1">
        <w:tc>
          <w:tcPr>
            <w:tcW w:w="7597" w:type="dxa"/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МИГРАЦИЯ НАСЕЛЕНИЯ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</w:tbl>
    <w:p w:rsidR="006774C1" w:rsidRDefault="006774C1" w:rsidP="006774C1">
      <w:pPr>
        <w:rPr>
          <w:sz w:val="18"/>
        </w:rPr>
      </w:pPr>
    </w:p>
    <w:p w:rsidR="006774C1" w:rsidRDefault="006774C1" w:rsidP="006774C1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6774C1" w:rsidRDefault="006774C1" w:rsidP="006774C1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6774C1" w:rsidTr="006774C1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%</w:t>
            </w:r>
          </w:p>
        </w:tc>
      </w:tr>
      <w:tr w:rsidR="006774C1" w:rsidTr="006774C1"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8,22</w:t>
            </w:r>
          </w:p>
        </w:tc>
      </w:tr>
      <w:tr w:rsid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10,96</w:t>
            </w:r>
          </w:p>
        </w:tc>
      </w:tr>
      <w:tr w:rsid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19,18</w:t>
            </w:r>
          </w:p>
        </w:tc>
      </w:tr>
      <w:tr w:rsid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4,11</w:t>
            </w:r>
          </w:p>
        </w:tc>
      </w:tr>
      <w:tr w:rsid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18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24,66</w:t>
            </w:r>
          </w:p>
        </w:tc>
      </w:tr>
      <w:tr w:rsid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4,11</w:t>
            </w:r>
          </w:p>
        </w:tc>
      </w:tr>
      <w:tr w:rsid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5,48</w:t>
            </w:r>
          </w:p>
        </w:tc>
      </w:tr>
      <w:tr w:rsid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1,37</w:t>
            </w:r>
          </w:p>
        </w:tc>
      </w:tr>
      <w:tr w:rsid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6,85</w:t>
            </w:r>
          </w:p>
        </w:tc>
      </w:tr>
      <w:tr w:rsid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КУЛЬТУРА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5,48</w:t>
            </w:r>
          </w:p>
        </w:tc>
      </w:tr>
      <w:tr w:rsid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lastRenderedPageBreak/>
              <w:t>ЗАКОННОСТЬ И ПРАВОПОРЯДОК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2,74</w:t>
            </w:r>
          </w:p>
        </w:tc>
      </w:tr>
      <w:tr w:rsid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ОТНОШ-ИЕ К ОРГАНАМ ВЛАСТИ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1,37</w:t>
            </w:r>
          </w:p>
        </w:tc>
      </w:tr>
      <w:tr w:rsid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СВЯЗЬ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1,37</w:t>
            </w:r>
          </w:p>
        </w:tc>
      </w:tr>
      <w:tr w:rsid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1,37</w:t>
            </w:r>
          </w:p>
        </w:tc>
      </w:tr>
      <w:tr w:rsidR="006774C1" w:rsidTr="006774C1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ТОРГОВЛЯ</w:t>
            </w:r>
          </w:p>
        </w:tc>
        <w:tc>
          <w:tcPr>
            <w:tcW w:w="1474" w:type="dxa"/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1,37</w:t>
            </w:r>
          </w:p>
        </w:tc>
      </w:tr>
      <w:tr w:rsidR="006774C1" w:rsidTr="006774C1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rPr>
                <w:sz w:val="18"/>
              </w:rPr>
            </w:pPr>
            <w:r w:rsidRPr="006774C1">
              <w:rPr>
                <w:sz w:val="18"/>
              </w:rPr>
              <w:t>МИГРАЦИЯ НАСЕЛЕНИЯ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74C1" w:rsidRPr="006774C1" w:rsidRDefault="006774C1" w:rsidP="006774C1">
            <w:pPr>
              <w:jc w:val="center"/>
              <w:rPr>
                <w:sz w:val="18"/>
              </w:rPr>
            </w:pPr>
            <w:r w:rsidRPr="006774C1">
              <w:rPr>
                <w:sz w:val="18"/>
              </w:rPr>
              <w:t>1,37</w:t>
            </w:r>
          </w:p>
        </w:tc>
      </w:tr>
    </w:tbl>
    <w:p w:rsidR="006774C1" w:rsidRDefault="006774C1" w:rsidP="006774C1">
      <w:pPr>
        <w:rPr>
          <w:sz w:val="18"/>
        </w:rPr>
      </w:pPr>
    </w:p>
    <w:p w:rsidR="006774C1" w:rsidRDefault="006774C1" w:rsidP="006774C1">
      <w:pPr>
        <w:rPr>
          <w:b/>
          <w:sz w:val="20"/>
        </w:rPr>
      </w:pPr>
      <w:r>
        <w:rPr>
          <w:b/>
          <w:sz w:val="20"/>
        </w:rPr>
        <w:t xml:space="preserve">6. Количество обоснованных жалоб и меры воздействия, примененные по результатам рассмотрения к виновным лицам: </w:t>
      </w:r>
    </w:p>
    <w:p w:rsidR="006774C1" w:rsidRDefault="00626638" w:rsidP="00C446F6">
      <w:pPr>
        <w:spacing w:after="0" w:line="240" w:lineRule="auto"/>
        <w:jc w:val="both"/>
      </w:pPr>
      <w:r w:rsidRPr="008E2BA2">
        <w:t>За 4 квартал 2010 года в Администрацию Колпашевского района поступили 2 жалобы. Первая жалоба поступила в адрес заместителя Губернатора Томской области по вопросам безопасности и управлению делами Ю.К. Сухоплюева по вопросу ремонта многоквартирного жилого дома. Данная жалоба была рассмотрена,  собственник</w:t>
      </w:r>
      <w:r w:rsidR="008E2BA2" w:rsidRPr="008E2BA2">
        <w:t>ам жилья были даны разъяснения, указан пакет документов, которы</w:t>
      </w:r>
      <w:r w:rsidR="008E2BA2">
        <w:t>й</w:t>
      </w:r>
      <w:r w:rsidR="008E2BA2" w:rsidRPr="008E2BA2">
        <w:t xml:space="preserve"> необходимо предоставить в администрацию Колпашевского городского поселения для включения в программу «Капитального ремонта многоквартирных жилых домов Колпашевского городского поселения».</w:t>
      </w:r>
    </w:p>
    <w:p w:rsidR="008E2BA2" w:rsidRPr="008E2BA2" w:rsidRDefault="008E2BA2" w:rsidP="00C446F6">
      <w:pPr>
        <w:spacing w:after="0" w:line="240" w:lineRule="auto"/>
        <w:jc w:val="both"/>
      </w:pPr>
      <w:r>
        <w:t>Вторая жалоба поступила от жителя г.Колпашево по вопросу работы Колпашевского отделения ОГУП «</w:t>
      </w:r>
      <w:r w:rsidR="00C446F6">
        <w:t>Томский областной центр технической инвентаризации». Учитывая, что департамент по управлению государственной Томской области курирует деятельность ОГУП «Томский областной центр технической инвентаризации» данная жалоба была направлена в департамент для рассмотрения и ответа за</w:t>
      </w:r>
      <w:r w:rsidR="002F7206">
        <w:t>явителю в установленном порядке, заявитель также был проинформирован.</w:t>
      </w:r>
    </w:p>
    <w:p w:rsidR="0012761B" w:rsidRDefault="0012761B" w:rsidP="006774C1">
      <w:pPr>
        <w:rPr>
          <w:b/>
          <w:sz w:val="20"/>
        </w:rPr>
      </w:pPr>
    </w:p>
    <w:p w:rsidR="006774C1" w:rsidRDefault="006774C1" w:rsidP="006774C1">
      <w:pPr>
        <w:rPr>
          <w:b/>
          <w:sz w:val="20"/>
        </w:rPr>
      </w:pPr>
      <w:r>
        <w:rPr>
          <w:b/>
          <w:sz w:val="20"/>
        </w:rPr>
        <w:t xml:space="preserve">7. Мероприятия, направленные на улучшение работы с обращениями граждан (в т.ч. проверки, систематическая отчетность на заседаниях, контактные телефоны и т.д.): </w:t>
      </w:r>
    </w:p>
    <w:p w:rsidR="006774C1" w:rsidRPr="007B129D" w:rsidRDefault="002F7206" w:rsidP="007B129D">
      <w:pPr>
        <w:spacing w:after="0" w:line="240" w:lineRule="auto"/>
        <w:jc w:val="both"/>
        <w:rPr>
          <w:sz w:val="24"/>
          <w:szCs w:val="24"/>
        </w:rPr>
      </w:pPr>
      <w:r w:rsidRPr="007B129D">
        <w:rPr>
          <w:sz w:val="24"/>
          <w:szCs w:val="24"/>
        </w:rPr>
        <w:t xml:space="preserve">Специалисты Администрации Колпашевского района принимают оперативные меры реагирования на поступившие обращения и по необходимости в течение 2-4 дней посещают заявителей или вызывают на личную беседу с целью детального изучения обстоятельств дела, выяснения нарушений конституционных прав и свобод гражданина. За </w:t>
      </w:r>
      <w:r w:rsidR="00921213" w:rsidRPr="007B129D">
        <w:rPr>
          <w:sz w:val="24"/>
          <w:szCs w:val="24"/>
          <w:lang w:val="en-US"/>
        </w:rPr>
        <w:t>IV</w:t>
      </w:r>
      <w:r w:rsidR="00921213" w:rsidRPr="007B129D">
        <w:rPr>
          <w:sz w:val="24"/>
          <w:szCs w:val="24"/>
        </w:rPr>
        <w:t xml:space="preserve"> квартал 2010 года было около 23 </w:t>
      </w:r>
      <w:r w:rsidR="00FE25F5" w:rsidRPr="007B129D">
        <w:rPr>
          <w:sz w:val="24"/>
          <w:szCs w:val="24"/>
        </w:rPr>
        <w:t xml:space="preserve">выездов на место. На основании выездов принимались обоснованные решения (положительные или отрицательные) по обращению гражданина и </w:t>
      </w:r>
      <w:r w:rsidR="007B129D" w:rsidRPr="007B129D">
        <w:rPr>
          <w:sz w:val="24"/>
          <w:szCs w:val="24"/>
        </w:rPr>
        <w:t>направлялись письменные мотивированные ответы в пределах сроков, установленных законодательством РФ. В ответе заявителю сообщалось об удовлетворении или неудовлетворении обращения, совершении или несовершении испрашиваемого действия, приводились аргументы.</w:t>
      </w:r>
    </w:p>
    <w:sectPr w:rsidR="006774C1" w:rsidRPr="007B129D" w:rsidSect="006774C1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777" w:rsidRDefault="00157777" w:rsidP="006774C1">
      <w:pPr>
        <w:spacing w:after="0" w:line="240" w:lineRule="auto"/>
      </w:pPr>
      <w:r>
        <w:separator/>
      </w:r>
    </w:p>
  </w:endnote>
  <w:endnote w:type="continuationSeparator" w:id="1">
    <w:p w:rsidR="00157777" w:rsidRDefault="00157777" w:rsidP="0067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777" w:rsidRDefault="00157777" w:rsidP="006774C1">
      <w:pPr>
        <w:spacing w:after="0" w:line="240" w:lineRule="auto"/>
      </w:pPr>
      <w:r>
        <w:separator/>
      </w:r>
    </w:p>
  </w:footnote>
  <w:footnote w:type="continuationSeparator" w:id="1">
    <w:p w:rsidR="00157777" w:rsidRDefault="00157777" w:rsidP="0067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C1" w:rsidRDefault="006774C1" w:rsidP="006774C1">
    <w:pPr>
      <w:pStyle w:val="a3"/>
      <w:rPr>
        <w:sz w:val="18"/>
      </w:rPr>
    </w:pPr>
    <w:r>
      <w:rPr>
        <w:sz w:val="18"/>
      </w:rPr>
      <w:t>В.ф. 2.11</w:t>
    </w:r>
  </w:p>
  <w:p w:rsidR="006774C1" w:rsidRDefault="006774C1" w:rsidP="006774C1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tbl>
    <w:tblPr>
      <w:tblW w:w="0" w:type="auto"/>
      <w:tblLayout w:type="fixed"/>
      <w:tblLook w:val="0000"/>
    </w:tblPr>
    <w:tblGrid>
      <w:gridCol w:w="5352"/>
      <w:gridCol w:w="5353"/>
    </w:tblGrid>
    <w:tr w:rsidR="006774C1" w:rsidRPr="006774C1" w:rsidTr="006774C1">
      <w:tc>
        <w:tcPr>
          <w:tcW w:w="5352" w:type="dxa"/>
          <w:shd w:val="clear" w:color="auto" w:fill="auto"/>
        </w:tcPr>
        <w:p w:rsidR="006774C1" w:rsidRPr="006774C1" w:rsidRDefault="006774C1" w:rsidP="006774C1">
          <w:pPr>
            <w:pStyle w:val="a3"/>
            <w:rPr>
              <w:sz w:val="18"/>
            </w:rPr>
          </w:pPr>
          <w:r w:rsidRPr="006774C1">
            <w:rPr>
              <w:sz w:val="18"/>
            </w:rPr>
            <w:t xml:space="preserve">стр. </w:t>
          </w:r>
          <w:r w:rsidR="00E90A9B" w:rsidRPr="006774C1">
            <w:rPr>
              <w:sz w:val="18"/>
            </w:rPr>
            <w:fldChar w:fldCharType="begin"/>
          </w:r>
          <w:r w:rsidRPr="006774C1">
            <w:rPr>
              <w:sz w:val="18"/>
            </w:rPr>
            <w:instrText xml:space="preserve"> PAGE  \* MERGEFORMAT </w:instrText>
          </w:r>
          <w:r w:rsidR="00E90A9B" w:rsidRPr="006774C1">
            <w:rPr>
              <w:sz w:val="18"/>
            </w:rPr>
            <w:fldChar w:fldCharType="separate"/>
          </w:r>
          <w:r w:rsidR="0012761B">
            <w:rPr>
              <w:noProof/>
              <w:sz w:val="18"/>
            </w:rPr>
            <w:t>4</w:t>
          </w:r>
          <w:r w:rsidR="00E90A9B" w:rsidRPr="006774C1">
            <w:rPr>
              <w:sz w:val="18"/>
            </w:rPr>
            <w:fldChar w:fldCharType="end"/>
          </w:r>
          <w:r w:rsidRPr="006774C1">
            <w:rPr>
              <w:sz w:val="18"/>
            </w:rPr>
            <w:t xml:space="preserve"> из </w:t>
          </w:r>
          <w:fldSimple w:instr=" NUMPAGES  \* MERGEFORMAT ">
            <w:r w:rsidR="0012761B" w:rsidRPr="0012761B">
              <w:rPr>
                <w:noProof/>
                <w:sz w:val="18"/>
              </w:rPr>
              <w:t>4</w:t>
            </w:r>
          </w:fldSimple>
        </w:p>
      </w:tc>
      <w:tc>
        <w:tcPr>
          <w:tcW w:w="5353" w:type="dxa"/>
          <w:shd w:val="clear" w:color="auto" w:fill="auto"/>
        </w:tcPr>
        <w:p w:rsidR="006774C1" w:rsidRPr="006774C1" w:rsidRDefault="006774C1" w:rsidP="006774C1">
          <w:pPr>
            <w:pStyle w:val="a3"/>
            <w:jc w:val="right"/>
            <w:rPr>
              <w:sz w:val="18"/>
            </w:rPr>
          </w:pPr>
          <w:r w:rsidRPr="006774C1">
            <w:rPr>
              <w:sz w:val="18"/>
            </w:rPr>
            <w:t>четверг, 13.01.2011 13:55</w:t>
          </w:r>
        </w:p>
      </w:tc>
    </w:tr>
  </w:tbl>
  <w:p w:rsidR="006774C1" w:rsidRPr="006774C1" w:rsidRDefault="006774C1" w:rsidP="006774C1">
    <w:pPr>
      <w:pStyle w:val="a3"/>
      <w:jc w:val="center"/>
      <w:rPr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4C1"/>
    <w:rsid w:val="0012761B"/>
    <w:rsid w:val="00157777"/>
    <w:rsid w:val="002F7206"/>
    <w:rsid w:val="003D3940"/>
    <w:rsid w:val="005372F2"/>
    <w:rsid w:val="00626638"/>
    <w:rsid w:val="006774C1"/>
    <w:rsid w:val="007B129D"/>
    <w:rsid w:val="008E2BA2"/>
    <w:rsid w:val="00921213"/>
    <w:rsid w:val="00BE06CB"/>
    <w:rsid w:val="00C446F6"/>
    <w:rsid w:val="00E90A9B"/>
    <w:rsid w:val="00FE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74C1"/>
  </w:style>
  <w:style w:type="paragraph" w:styleId="a5">
    <w:name w:val="footer"/>
    <w:basedOn w:val="a"/>
    <w:link w:val="a6"/>
    <w:uiPriority w:val="99"/>
    <w:semiHidden/>
    <w:unhideWhenUsed/>
    <w:rsid w:val="0067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7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Caregorodceva</dc:creator>
  <cp:keywords/>
  <dc:description/>
  <cp:lastModifiedBy>Caregorodceva</cp:lastModifiedBy>
  <cp:revision>3</cp:revision>
  <cp:lastPrinted>2011-01-13T11:12:00Z</cp:lastPrinted>
  <dcterms:created xsi:type="dcterms:W3CDTF">2011-01-13T07:55:00Z</dcterms:created>
  <dcterms:modified xsi:type="dcterms:W3CDTF">2011-01-13T11:13:00Z</dcterms:modified>
</cp:coreProperties>
</file>