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D2D7D4"/>
          <w:left w:val="single" w:sz="6" w:space="0" w:color="D2D7D4"/>
          <w:bottom w:val="single" w:sz="6" w:space="0" w:color="D2D7D4"/>
          <w:right w:val="single" w:sz="6" w:space="0" w:color="D2D7D4"/>
        </w:tblBorders>
        <w:shd w:val="clear" w:color="auto" w:fill="E9F0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</w:tblGrid>
      <w:tr w:rsidR="00BC15A3" w:rsidRPr="00BC15A3" w:rsidTr="00BC15A3">
        <w:trPr>
          <w:trHeight w:val="3030"/>
        </w:trPr>
        <w:tc>
          <w:tcPr>
            <w:tcW w:w="10710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15A3" w:rsidRPr="00BC15A3" w:rsidRDefault="00BC15A3" w:rsidP="00BC15A3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BC15A3">
              <w:rPr>
                <w:rFonts w:ascii="inherit" w:eastAsia="Times New Roman" w:hAnsi="inherit" w:cs="Tahoma"/>
                <w:color w:val="3B3B3B"/>
                <w:sz w:val="21"/>
                <w:szCs w:val="21"/>
                <w:bdr w:val="none" w:sz="0" w:space="0" w:color="auto" w:frame="1"/>
                <w:lang w:eastAsia="ru-RU"/>
              </w:rPr>
              <w:t>Постановление Администрации Томской области от 08.04.2019 N 138а</w:t>
            </w:r>
            <w:r w:rsidRPr="00BC15A3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br/>
            </w:r>
            <w:r w:rsidRPr="00BC15A3">
              <w:rPr>
                <w:rFonts w:ascii="inherit" w:eastAsia="Times New Roman" w:hAnsi="inherit" w:cs="Tahoma"/>
                <w:color w:val="3B3B3B"/>
                <w:sz w:val="21"/>
                <w:szCs w:val="21"/>
                <w:bdr w:val="none" w:sz="0" w:space="0" w:color="auto" w:frame="1"/>
                <w:lang w:eastAsia="ru-RU"/>
              </w:rPr>
              <w:t xml:space="preserve">"Об утверждении Порядка предоставления субсидии в области занятости населения Томской области на возмещение затрат работодателям на профессиональное обучение и дополнительное профессиональное образование работников из числа лиц </w:t>
            </w:r>
            <w:proofErr w:type="spellStart"/>
            <w:r w:rsidRPr="00BC15A3">
              <w:rPr>
                <w:rFonts w:ascii="inherit" w:eastAsia="Times New Roman" w:hAnsi="inherit" w:cs="Tahoma"/>
                <w:color w:val="3B3B3B"/>
                <w:sz w:val="21"/>
                <w:szCs w:val="21"/>
                <w:bdr w:val="none" w:sz="0" w:space="0" w:color="auto" w:frame="1"/>
                <w:lang w:eastAsia="ru-RU"/>
              </w:rPr>
              <w:t>предпенсионного</w:t>
            </w:r>
            <w:proofErr w:type="spellEnd"/>
            <w:r w:rsidRPr="00BC15A3">
              <w:rPr>
                <w:rFonts w:ascii="inherit" w:eastAsia="Times New Roman" w:hAnsi="inherit" w:cs="Tahoma"/>
                <w:color w:val="3B3B3B"/>
                <w:sz w:val="21"/>
                <w:szCs w:val="21"/>
                <w:bdr w:val="none" w:sz="0" w:space="0" w:color="auto" w:frame="1"/>
                <w:lang w:eastAsia="ru-RU"/>
              </w:rPr>
              <w:t xml:space="preserve"> возраста"</w:t>
            </w:r>
          </w:p>
        </w:tc>
      </w:tr>
    </w:tbl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br/>
        <w:t>АДМИНИСТРАЦИЯ ТОМСКОЙ ОБЛАСТИ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ПОСТАНОВЛЕНИЕ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от 8 апреля 2019 г. N 138а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ОБ УТВЕРЖДЕНИИ ПОРЯДКА ПРЕДОСТАВЛЕНИЯ СУБСИДИИ В ОБЛАСТИ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ЗАНЯТОСТИ НАСЕЛЕНИЯ ТОМСКОЙ ОБЛАСТИ НА ВОЗМЕЩЕНИЕ ЗАТРАТ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РАБОТОДАТЕЛЯМ НА ПРОФЕССИОНАЛЬНОЕ ОБУЧЕНИЕ И ДОПОЛНИТЕЛЬНОЕ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ПРОФЕССИОНАЛЬНОЕ ОБРАЗОВАНИЕ РАБОТНИКОВ ИЗ ЧИСЛА ЛИЦ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center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 ВОЗРАСТА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 соответствии со </w:t>
      </w:r>
      <w:hyperlink r:id="rId5" w:tooltip="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статьей 78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Бюджетного кодекса Российской Федерации, </w:t>
      </w:r>
      <w:hyperlink r:id="rId6" w:tooltip="Постановление Администрации Томской области от 10.12.2014 N 478а (ред. от 04.02.2019) 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"Развитие рынка труда в Томской области", утвержденной постановлением Администрации Томской области от 10.12.2014 N 478а "Об утверждении государственной программы "Развитие рынка труда в Томской области".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Профессиональное обучение и дополнительное профессиональное образование (далее - обучение) организуется работодателем для граждан из числа лиц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состоящих с ним в трудовых отношениях (далее - работники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возраста).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3. Субсидия предоставляется работодателям, направляющим в текущем финансовом году своих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на обучение в организацию, осуществляющую образовательную деятельность, с которой заключен договор на обучение, либо самостоятельно организующим в текущем финансовом году обучение в своем специализированном структурном образовательном подразделении при условии наличия лицензии на осуществление образова</w:t>
      </w:r>
      <w:bookmarkStart w:id="0" w:name="_GoBack"/>
      <w:bookmarkEnd w:id="0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тельной деятельности.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 xml:space="preserve">Обучение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должно быть завершено до наступления у них возраста, дающего право на страховую пенсию по старости, в том числе назначаемую досрочно.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4. Главным распорядителем средств областного бюджета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уполномоченный орган - Департамент труда и занятости населения Томской области (далее - Департамент). Субсидии предоставляются в пределах лимитов бюджетных ассигнований, предусмотренных в областном бюджете на очередной финансовый год и плановый период.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5. Категориями получателей субсидии являются работодатели из числа юридических лиц (за исключением государственных (муниципальных) учреждений) и индивидуальных предпринимателей, осуществляющих хозяйственную деятельность и состоящих на учете в налоговом органе на территории Томской области, в штате которых состоят работники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2. Условия и порядок предоставления субсидии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6. Лица, указанные в </w:t>
      </w:r>
      <w:hyperlink r:id="rId7" w:anchor="Par46" w:tooltip="5. Категориями получателей субсидии являются работодатели из числа юридических лиц (за исключением государственных (муниципальных) учреждений) и индивидуальных предпринимателей, осуществляющих хозяйственную деятельность и состоящих на учете в налоговом ор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5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 (далее - получатели субсидии), должны соответствовать на первое число месяца, предшествующего месяцу, в котором планируется заключение договора о предоставлении субсидии, следующим требованиям: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2) не иметь просроченной (неурегулированной) задолженности по возврату в областной бюджет субсидий, бюджетных инвестиций,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предоставленных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3) не находиться в процессе реорганизации, ликвидации, банкротства (юридические лица), не прекратить деятельность в качестве индивидуального предпринимателя (индивидуальные предприниматели);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4) 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таких юридических лиц, в совокупности превышает 50 процентов;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5) не получать средства из областного бюджета на основании иных нормативных правовых актов на цель, указанную в </w:t>
      </w:r>
      <w:hyperlink r:id="rId8" w:anchor="Par41" w:tooltip="2. Целью предоставления субсидии является возмещение затрат работодателям, связанных с реализацией мероприятия 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7. Условиями предоставления субсидии являются:</w:t>
        </w:r>
      </w:hyperlink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&lt;a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data-cke-saved-href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="#Par41"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href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="#Par41"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title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="2.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Целью предоставления субсидии является возмещение затрат работодателям, связанных с реализацией мероприятия " Возмещение="" затрат="" работодателям="" на="" профессиональное="" обучение="" и="" дополнительное="" образование="" работников="" из="" числа="" лиц=""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"=""&gt;1) соответствие получателей субсидии требованиям, указанным в </w:t>
      </w:r>
      <w:hyperlink r:id="rId9" w:anchor="Par50" w:tooltip="6. Лица, указанные в пункте 5 настоящего Порядка (далее - получатели субсидии), должны соответствовать на первое число месяца, предшествующего месяцу, в котором планируется заключение договора о предоставлении субсидии, следующим требованиям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6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Порядка;</w:t>
      </w:r>
      <w:proofErr w:type="gramEnd"/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2) согласие получателя субсидии на осуществление Департаментом и органами государственного финансового контроля проверок соблюдения получателем субсидии условий, цели и порядка предоставления субсидии.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8. Для принятия решения о предоставлении субсидии получатель субсидии представляет в Департамент до 1 декабря 2019 года: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1) заявку на участие в мероприятии и предоставление субсидии (далее - заявка) по форме, установленной правовым актом Департамента;</w:t>
      </w:r>
      <w:proofErr w:type="gramEnd"/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2)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 договора о предоставлении субсидии;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3) сведения об отнесении работника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к категории лиц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полученные из Государственного учреждения - Отделения Пенсионного фонда Российской Федерации по Томской области;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4) заверенные в установленном порядке копии документов: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а) трудовые договоры с работниками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б) учебный (учебно-тематический) план на каждую образовательную программу, по которой осуществлялось обучение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в) локальный акт о направлении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на обучение;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г)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выданных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работникам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по окончании обучения в соответствии со </w:t>
      </w:r>
      <w:hyperlink r:id="rId10" w:tooltip="Ссылка на КонсультантПлюс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статьей 60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Федерального закона от 29 декабря 2012 года N 273-ФЗ "Об образовании в Российской Федерации";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д) трудовые книжки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с отметкой о продолжении работы у получателя субсидии в настоящее время;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5) в случае заключения получателем субсидии договора на обучение с организацией, осуществляющей образовательную деятельность, дополнительно к документам, копиям </w:t>
      </w: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документов, указанным в </w:t>
      </w:r>
      <w:hyperlink r:id="rId11" w:anchor="Par60" w:tooltip="1) заявку на участие в мероприятии и предоставление субсидии (далее - заявка) по форме, установленной правовым актом Департамента;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подпунктах 1)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- </w:t>
      </w:r>
      <w:hyperlink r:id="rId12" w:anchor="Par63" w:tooltip="4) заверенные в установленном порядке копии документов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4)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пункта, заверенные в установленном порядке копии документов: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а) договор с организацией, осуществляющей образовательную деятельность, на обучение;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б) лицензия на осуществление образовательной деятельности организацией, осуществляющей образовательную деятельность, с которой заключен договор на обучение;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в) локальные акты о зачислении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в организацию, осуществляющую образовательную деятельность, на обучение, об отчислении указанных работников после завершения процесса обучения;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г) подтверждающих оплату получателем субсидии организации, осуществляющей образовательную деятельность, стоимости обучения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(платежные поручения);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д) акт об оказании образовательных услуг;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6) в случае организации обучения в своем специализированном структурном образовательном подразделении (при условии наличия лицензии на осуществление образовательной деятельности) дополнительно к документам, копиям документов, указанным в </w:t>
      </w:r>
      <w:hyperlink r:id="rId13" w:anchor="Par60" w:tooltip="1) заявку на участие в мероприятии и предоставление субсидии (далее - заявка) по форме, установленной правовым актом Департамента;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подпунктах 1)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- </w:t>
      </w:r>
      <w:hyperlink r:id="rId14" w:anchor="Par63" w:tooltip="4) заверенные в установленном порядке копии документов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4)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пункта, заверенные в установленном порядке копии документов: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а) договор (ученический договор) с работником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с условием о размере расходов, затраченных работодателем на обучение работника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б) локальный акт получателя субсидии, устанавливающий порядок расчета стоимости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обучения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 каждой образовательной программе;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в) лицензия на осуществление образовательной деятельности получателем субсидии.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Получатель субсидии несет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9. Департамент регистрирует заявку получателя субсидии не позднее рабочего дня, следующего за днем ее поступления в Департамент.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Департамент в течение пятнадцати рабочих дней со дня регистрации заявки получателя субсидии в порядке очередности регистрации заявок получателей субсидии посредством рассмотрения представленных документов устанавливает соответствие получателей субсидии условиям предоставления субсидии, установленным в </w:t>
      </w:r>
      <w:hyperlink r:id="rId15" w:anchor="Par56" w:tooltip="7. Условиями предоставления субсидии являются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7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Порядка, осуществляет отбор получателей субсидии, принимает решение о предоставлении субсидии и заключает договор о предоставлении субсидии либо принимает решение об отказе в предоставлении субсидии.</w:t>
      </w:r>
      <w:proofErr w:type="gramEnd"/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10. Основаниями для принятия решения о предоставлении субсидии являются: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соответствие получателя субсидии условиям предоставления субсидии, установленным в </w:t>
      </w:r>
      <w:hyperlink r:id="rId16" w:anchor="Par56" w:tooltip="7. Условиями предоставления субсидии являются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7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настоящего Порядка;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представление получателем субсидии документов, указанных в </w:t>
      </w:r>
      <w:hyperlink r:id="rId17" w:anchor="Par59" w:tooltip="8. Для принятия решения о предоставлении субсидии получатель субсидии представляет в Департамент до 1 декабря 2019 года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8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Договор о предоставлении субсидии заключается в соответствии с типовой формой, утвержденной Департаментом финансов Томской области, и предусматривает условие о сохранении получателем субсидии за работниками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занятости до достижения ими возраста, дающего право на страховую пенсию по старости, в том числе назначаемую досрочно, а также условие о возврате субсидии в случае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недостижения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показателя результативности субсидии, указанного в </w:t>
      </w:r>
      <w:hyperlink r:id="rId18" w:anchor="Par102" w:tooltip="14. Показателем результативности субсидии является численность работников предпенсионного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.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14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настоящего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Порядка.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11. Основаниями для принятия решения об отказе получателю субсидии в предоставлении субсидии являются: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несоответствие получателя субсидии условиям, установленным в </w:t>
      </w:r>
      <w:hyperlink r:id="rId19" w:anchor="Par56" w:tooltip="7. Условиями предоставления субсидии являются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7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несоответствие представленных получателем субсидии документов требованиям, определенным </w:t>
      </w:r>
      <w:hyperlink r:id="rId20" w:anchor="Par59" w:tooltip="8. Для принятия решения о предоставлении субсидии получатель субсидии представляет в Департамент до 1 декабря 2019 года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пунктом 8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настоящего Порядка, или непредставление (представление не в полном объеме) документов, указанных в пункте 8 настоящего Порядка;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недостоверность представленной получателем субсидии информации.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Департамент направляет получателю субсидии решение об отказе в предоставлении субсидии в течение трех рабочих дней со дня принятия такого решения.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12. Размер субсидии, предоставляемой получателю субсидии на организацию обучения работников из числа лиц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определяется по следующей формуле: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S = N x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</w:t>
      </w:r>
      <w:r w:rsidRPr="00BC15A3">
        <w:rPr>
          <w:rFonts w:ascii="inherit" w:eastAsia="Times New Roman" w:hAnsi="inherit" w:cs="Tahoma"/>
          <w:color w:val="3B3B3B"/>
          <w:sz w:val="16"/>
          <w:szCs w:val="16"/>
          <w:bdr w:val="none" w:sz="0" w:space="0" w:color="auto" w:frame="1"/>
          <w:vertAlign w:val="subscript"/>
          <w:lang w:eastAsia="ru-RU"/>
        </w:rPr>
        <w:t>обуч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, где: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S - размер субсидии, предоставляемой получателю субсидии;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N - численность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направленных на обучение (человек);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</w:t>
      </w:r>
      <w:r w:rsidRPr="00BC15A3">
        <w:rPr>
          <w:rFonts w:ascii="inherit" w:eastAsia="Times New Roman" w:hAnsi="inherit" w:cs="Tahoma"/>
          <w:color w:val="3B3B3B"/>
          <w:sz w:val="16"/>
          <w:szCs w:val="16"/>
          <w:bdr w:val="none" w:sz="0" w:space="0" w:color="auto" w:frame="1"/>
          <w:vertAlign w:val="subscript"/>
          <w:lang w:eastAsia="ru-RU"/>
        </w:rPr>
        <w:t>обуч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 - стоимость обучения одного работника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за курс (не более 3 месяцев), но не более 68,5 тыс. рублей.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13. Субсидия перечисляется получателю субсидии, заключившему договор о предоставлении субсидии с Департаментом, не позднее семи рабочих дней после принятия решения о предоставлении субсидии.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Субсидия перечисляется на расчетный счет или корреспондентский счет получателя субсидии, открытые в учреждении Центрального банка Российской Федерации или кредитной организации.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Субсидия предоставляется на возмещение затрат получателя субсидии: стоимости обучения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организации, осуществляющей образовательную деятельность; стоимости обучения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 в своем специализированном структурном образовательном подразделении в соответствии с </w:t>
      </w: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локальным актом получателя субсидии, устанавливающим порядок расчета стоимости обучения по каждой образовательной программе.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Фактически произведенные затраты получателя субсидии подтверждаются документами, указанными в </w:t>
      </w:r>
      <w:hyperlink r:id="rId21" w:anchor="Par73" w:tooltip="г) подтверждающих оплату получателем субсидии организации, осуществляющей образовательную деятельность, стоимости обучения работников предпенсионного возраста (платежные поручения);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подпункте г) подпункта 5)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или </w:t>
      </w:r>
      <w:hyperlink r:id="rId22" w:anchor="Par77" w:tooltip="б) локальный акт получателя субсидии, устанавливающий порядок расчета стоимости обучения по каждой образовательной программе;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подпункте б) подпункта 6) пункта 8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14. Показателем результативности субсидии является численность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Достижением показателя результативности субсидии является численность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занятость, за исключением прекративших трудовые отношения по собственной инициативе, по состоянию на 15 января года, следующего за таким финансовым годом.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Департамент имеет право на основании настоящего Порядка устанавливать конкретные показатели результативности в договоре о предоставлении субсидии.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3. Требования к отчетности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15. Получатели субсидии представляют в Департамент отчетность о достижении показателя результативности субсидии, указанного в </w:t>
      </w:r>
      <w:hyperlink r:id="rId23" w:anchor="Par102" w:tooltip="14. Показателем результативности субсидии является численность работников предпенсионного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.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14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Сроки и формы предоставления получателем субсидии отчетности о достижении показателя результативности субсидии устанавливаются Департаментом в договоре о предоставлении субсидии.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4. Требования об осуществлении </w:t>
      </w:r>
      <w:proofErr w:type="gramStart"/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контроля за</w:t>
      </w:r>
      <w:proofErr w:type="gramEnd"/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 xml:space="preserve"> соблюдением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условий, цели и порядка предоставления субсидии,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inherit" w:eastAsia="Times New Roman" w:hAnsi="inherit" w:cs="Tahoma"/>
          <w:b/>
          <w:bCs/>
          <w:color w:val="3B3B3B"/>
          <w:sz w:val="21"/>
          <w:szCs w:val="21"/>
          <w:bdr w:val="none" w:sz="0" w:space="0" w:color="auto" w:frame="1"/>
          <w:lang w:eastAsia="ru-RU"/>
        </w:rPr>
        <w:t>ответственность за их нарушение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16. Департамент и органы государственного финансового контроля осуществляют обязательную проверку соблюдения получателем субсидии условий, цели и порядка предоставления субсидии.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17.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 случае нарушения получателем субсидии условий предоставления субсидии, выявленного по фактам проверок, проведенных Департаментом и органами государственного финансового контроля, а также в случае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недостижения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показателя результативности субсидии, указанного в </w:t>
      </w:r>
      <w:hyperlink r:id="rId24" w:anchor="Par102" w:tooltip="14. Показателем результативности субсидии является численность работников предпенсионного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.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14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Порядка, Департамент в течение десяти рабочих дней с даты выявления указанного факта направляет получателю субсидии письменное требование о возврате субсидии в областной бюджет.</w:t>
      </w:r>
      <w:proofErr w:type="gramEnd"/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18. Субсидия должна быть возвращена получателем субсидии в течение двадцати рабочих дней </w:t>
      </w:r>
      <w:proofErr w:type="gram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с даты получения</w:t>
      </w:r>
      <w:proofErr w:type="gram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им требования, указанного в </w:t>
      </w:r>
      <w:hyperlink r:id="rId25" w:anchor="Par116" w:tooltip="17. В случае нарушения получателем субсидии условий предоставления субсидии, выявленного по фактам проверок, проведенных Департаментом и органами государственного финансового контроля, а также в случае недостижения показателя результативности субсидии, ук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17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Порядка:</w:t>
      </w:r>
    </w:p>
    <w:p w:rsidR="00BC15A3" w:rsidRPr="00BC15A3" w:rsidRDefault="00BC15A3" w:rsidP="00BC15A3">
      <w:pPr>
        <w:shd w:val="clear" w:color="auto" w:fill="E9F0E9"/>
        <w:spacing w:after="24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lastRenderedPageBreak/>
        <w:t>в случае использования с нарушением условий ее предоставления - в полном объеме;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в случае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недостижения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показателя результативности субсидии, указанного в </w:t>
      </w:r>
      <w:hyperlink r:id="rId26" w:anchor="Par102" w:tooltip="14. Показателем результативности субсидии является численность работников предпенсионного возраста, прошедших профессиональное обучение или получивших дополнительное профессиональное образование в соответствующем финансовом году и сохранивших занятость.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14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 настоящего Порядка, - в объеме затраченных средств на обучение работников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предпенсионного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возраста, не сохранивших занятость, за исключением работников, прекративших трудовые отношения по собственной инициативе.</w:t>
      </w:r>
    </w:p>
    <w:p w:rsidR="00BC15A3" w:rsidRPr="00BC15A3" w:rsidRDefault="00BC15A3" w:rsidP="00BC15A3">
      <w:pPr>
        <w:shd w:val="clear" w:color="auto" w:fill="E9F0E9"/>
        <w:spacing w:after="0" w:line="343" w:lineRule="atLeast"/>
        <w:jc w:val="both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19. В случае </w:t>
      </w:r>
      <w:proofErr w:type="spellStart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непоступления</w:t>
      </w:r>
      <w:proofErr w:type="spellEnd"/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 xml:space="preserve"> на лицевой счет Департамента субсидии в течение срока, установленного в </w:t>
      </w:r>
      <w:hyperlink r:id="rId27" w:anchor="Par117" w:tooltip="18. Субсидия должна быть возвращена получателем субсидии в течение двадцати рабочих дней с даты получения им требования, указанного в пункте 17 настоящего Порядка:" w:history="1">
        <w:r w:rsidRPr="00BC15A3">
          <w:rPr>
            <w:rFonts w:ascii="inherit" w:eastAsia="Times New Roman" w:hAnsi="inherit" w:cs="Tahoma"/>
            <w:color w:val="08783B"/>
            <w:sz w:val="21"/>
            <w:szCs w:val="21"/>
            <w:u w:val="single"/>
            <w:bdr w:val="none" w:sz="0" w:space="0" w:color="auto" w:frame="1"/>
            <w:lang w:eastAsia="ru-RU"/>
          </w:rPr>
          <w:t>пункте 18</w:t>
        </w:r>
      </w:hyperlink>
      <w:r w:rsidRPr="00BC15A3">
        <w:rPr>
          <w:rFonts w:ascii="Tahoma" w:eastAsia="Times New Roman" w:hAnsi="Tahoma" w:cs="Tahoma"/>
          <w:color w:val="3B3B3B"/>
          <w:sz w:val="21"/>
          <w:szCs w:val="21"/>
          <w:lang w:eastAsia="ru-RU"/>
        </w:rPr>
        <w:t> настоящего Порядка, Департамент в течение тридцати календарных дней со дня истечения указанного срока принимает меры к ее взысканию в судебном порядке.</w:t>
      </w:r>
    </w:p>
    <w:p w:rsidR="00A114B7" w:rsidRDefault="00A114B7"/>
    <w:sectPr w:rsidR="00A1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A3"/>
    <w:rsid w:val="00A114B7"/>
    <w:rsid w:val="00BC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5A3"/>
    <w:rPr>
      <w:color w:val="0000FF"/>
      <w:u w:val="single"/>
    </w:rPr>
  </w:style>
  <w:style w:type="character" w:styleId="a5">
    <w:name w:val="Strong"/>
    <w:basedOn w:val="a0"/>
    <w:uiPriority w:val="22"/>
    <w:qFormat/>
    <w:rsid w:val="00BC15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5A3"/>
    <w:rPr>
      <w:color w:val="0000FF"/>
      <w:u w:val="single"/>
    </w:rPr>
  </w:style>
  <w:style w:type="character" w:styleId="a5">
    <w:name w:val="Strong"/>
    <w:basedOn w:val="a0"/>
    <w:uiPriority w:val="22"/>
    <w:qFormat/>
    <w:rsid w:val="00BC1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adm.ru/event/main_announcements/grazhdanam_predpensionnogo_vozrasta_i_rabotodateljam" TargetMode="External"/><Relationship Id="rId13" Type="http://schemas.openxmlformats.org/officeDocument/2006/relationships/hyperlink" Target="http://www.kolpadm.ru/event/main_announcements/grazhdanam_predpensionnogo_vozrasta_i_rabotodateljam" TargetMode="External"/><Relationship Id="rId18" Type="http://schemas.openxmlformats.org/officeDocument/2006/relationships/hyperlink" Target="http://www.kolpadm.ru/event/main_announcements/grazhdanam_predpensionnogo_vozrasta_i_rabotodateljam" TargetMode="External"/><Relationship Id="rId26" Type="http://schemas.openxmlformats.org/officeDocument/2006/relationships/hyperlink" Target="http://www.kolpadm.ru/event/main_announcements/grazhdanam_predpensionnogo_vozrasta_i_rabotodatelj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lpadm.ru/event/main_announcements/grazhdanam_predpensionnogo_vozrasta_i_rabotodateljam" TargetMode="External"/><Relationship Id="rId7" Type="http://schemas.openxmlformats.org/officeDocument/2006/relationships/hyperlink" Target="http://www.kolpadm.ru/event/main_announcements/grazhdanam_predpensionnogo_vozrasta_i_rabotodateljam" TargetMode="External"/><Relationship Id="rId12" Type="http://schemas.openxmlformats.org/officeDocument/2006/relationships/hyperlink" Target="http://www.kolpadm.ru/event/main_announcements/grazhdanam_predpensionnogo_vozrasta_i_rabotodateljam" TargetMode="External"/><Relationship Id="rId17" Type="http://schemas.openxmlformats.org/officeDocument/2006/relationships/hyperlink" Target="http://www.kolpadm.ru/event/main_announcements/grazhdanam_predpensionnogo_vozrasta_i_rabotodateljam" TargetMode="External"/><Relationship Id="rId25" Type="http://schemas.openxmlformats.org/officeDocument/2006/relationships/hyperlink" Target="http://www.kolpadm.ru/event/main_announcements/grazhdanam_predpensionnogo_vozrasta_i_rabotodatelj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lpadm.ru/event/main_announcements/grazhdanam_predpensionnogo_vozrasta_i_rabotodateljam" TargetMode="External"/><Relationship Id="rId20" Type="http://schemas.openxmlformats.org/officeDocument/2006/relationships/hyperlink" Target="http://www.kolpadm.ru/event/main_announcements/grazhdanam_predpensionnogo_vozrasta_i_rabotodatelja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117232FC14205ACA1055782D51BEEC5857A6B390ADF2A399CF9F194C4995310844AC6D531E7F84253F4B89F6EFDBB092E0F621B168787D0F64674w4SED" TargetMode="External"/><Relationship Id="rId11" Type="http://schemas.openxmlformats.org/officeDocument/2006/relationships/hyperlink" Target="http://www.kolpadm.ru/event/main_announcements/grazhdanam_predpensionnogo_vozrasta_i_rabotodateljam" TargetMode="External"/><Relationship Id="rId24" Type="http://schemas.openxmlformats.org/officeDocument/2006/relationships/hyperlink" Target="http://www.kolpadm.ru/event/main_announcements/grazhdanam_predpensionnogo_vozrasta_i_rabotodateljam" TargetMode="External"/><Relationship Id="rId5" Type="http://schemas.openxmlformats.org/officeDocument/2006/relationships/hyperlink" Target="consultantplus://offline/ref=57D117232FC14205ACA11C4985B945EAC78C26633108DD7D67CAFFA6CB949F0650C44C939676E9F04B58A4EFDF30A4E94D650265050A8782wCS7D" TargetMode="External"/><Relationship Id="rId15" Type="http://schemas.openxmlformats.org/officeDocument/2006/relationships/hyperlink" Target="http://www.kolpadm.ru/event/main_announcements/grazhdanam_predpensionnogo_vozrasta_i_rabotodateljam" TargetMode="External"/><Relationship Id="rId23" Type="http://schemas.openxmlformats.org/officeDocument/2006/relationships/hyperlink" Target="http://www.kolpadm.ru/event/main_announcements/grazhdanam_predpensionnogo_vozrasta_i_rabotodatelja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D117232FC14205ACA11B5A94B945EAC78F2D603E00DD7D67CAFFA6CB949F0650C44C939675E2FB4658A4EFDF30A4E94D650265050A8782wCS7D" TargetMode="External"/><Relationship Id="rId19" Type="http://schemas.openxmlformats.org/officeDocument/2006/relationships/hyperlink" Target="http://www.kolpadm.ru/event/main_announcements/grazhdanam_predpensionnogo_vozrasta_i_rabotodatel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lpadm.ru/event/main_announcements/grazhdanam_predpensionnogo_vozrasta_i_rabotodateljam" TargetMode="External"/><Relationship Id="rId14" Type="http://schemas.openxmlformats.org/officeDocument/2006/relationships/hyperlink" Target="http://www.kolpadm.ru/event/main_announcements/grazhdanam_predpensionnogo_vozrasta_i_rabotodateljam" TargetMode="External"/><Relationship Id="rId22" Type="http://schemas.openxmlformats.org/officeDocument/2006/relationships/hyperlink" Target="http://www.kolpadm.ru/event/main_announcements/grazhdanam_predpensionnogo_vozrasta_i_rabotodateljam" TargetMode="External"/><Relationship Id="rId27" Type="http://schemas.openxmlformats.org/officeDocument/2006/relationships/hyperlink" Target="http://www.kolpadm.ru/event/main_announcements/grazhdanam_predpensionnogo_vozrasta_i_rabotodatel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3132</Words>
  <Characters>17858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Лесин Евгений Сергеевич</dc:creator>
  <cp:lastModifiedBy>Лесин Евгений Сергеевич</cp:lastModifiedBy>
  <cp:revision>1</cp:revision>
  <dcterms:created xsi:type="dcterms:W3CDTF">2019-05-20T08:39:00Z</dcterms:created>
  <dcterms:modified xsi:type="dcterms:W3CDTF">2019-05-20T08:41:00Z</dcterms:modified>
</cp:coreProperties>
</file>